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5670" w14:textId="77777777" w:rsidR="00B61516" w:rsidRDefault="00B61516" w:rsidP="00B61516">
      <w:pPr>
        <w:pStyle w:val="xmsonormal"/>
        <w:shd w:val="clear" w:color="auto" w:fill="FFFFFF"/>
        <w:wordWrap w:val="0"/>
        <w:spacing w:before="0" w:beforeAutospacing="0" w:after="0" w:afterAutospacing="0" w:line="420" w:lineRule="atLeast"/>
        <w:rPr>
          <w:rFonts w:ascii="Noto Sans" w:hAnsi="Noto Sans" w:cs="Noto Sans"/>
          <w:color w:val="666666"/>
          <w:sz w:val="36"/>
          <w:szCs w:val="36"/>
          <w:bdr w:val="none" w:sz="0" w:space="0" w:color="auto" w:frame="1"/>
        </w:rPr>
      </w:pPr>
      <w:r>
        <w:rPr>
          <w:rFonts w:ascii="Noto Sans" w:hAnsi="Noto Sans" w:cs="Noto Sans"/>
          <w:color w:val="666666"/>
          <w:sz w:val="36"/>
          <w:szCs w:val="36"/>
          <w:bdr w:val="none" w:sz="0" w:space="0" w:color="auto" w:frame="1"/>
        </w:rPr>
        <w:t>Human Resources Associate, Manchester</w:t>
      </w:r>
    </w:p>
    <w:p w14:paraId="7DBE6EFC" w14:textId="7E5FEDBC" w:rsidR="00B61516" w:rsidRDefault="00B61516" w:rsidP="00B61516">
      <w:pPr>
        <w:pStyle w:val="xmsonormal"/>
        <w:shd w:val="clear" w:color="auto" w:fill="FFFFFF"/>
        <w:wordWrap w:val="0"/>
        <w:spacing w:before="0" w:beforeAutospacing="0" w:after="0" w:afterAutospacing="0" w:line="420" w:lineRule="atLeast"/>
      </w:pPr>
      <w:r w:rsidRPr="00B61516">
        <w:rPr>
          <w:color w:val="666666"/>
          <w:bdr w:val="none" w:sz="0" w:space="0" w:color="auto" w:frame="1"/>
        </w:rPr>
        <w:t xml:space="preserve">Apply here: </w:t>
      </w:r>
      <w:hyperlink r:id="rId5" w:tgtFrame="_blank" w:history="1">
        <w:proofErr w:type="gramStart"/>
        <w:r w:rsidRPr="00B61516">
          <w:rPr>
            <w:rStyle w:val="Hyperlink"/>
            <w:bdr w:val="none" w:sz="0" w:space="0" w:color="auto" w:frame="1"/>
            <w:shd w:val="clear" w:color="auto" w:fill="FFFFFF"/>
          </w:rPr>
          <w:t>6104277:Career</w:t>
        </w:r>
        <w:proofErr w:type="gramEnd"/>
        <w:r w:rsidRPr="00B61516">
          <w:rPr>
            <w:rStyle w:val="Hyperlink"/>
            <w:bdr w:val="none" w:sz="0" w:space="0" w:color="auto" w:frame="1"/>
            <w:shd w:val="clear" w:color="auto" w:fill="FFFFFF"/>
          </w:rPr>
          <w:t xml:space="preserve"> Search (saashr.com)</w:t>
        </w:r>
      </w:hyperlink>
    </w:p>
    <w:p w14:paraId="796ED4FA" w14:textId="77777777" w:rsidR="00B61516" w:rsidRPr="00B61516" w:rsidRDefault="00B61516" w:rsidP="00B61516">
      <w:pPr>
        <w:pStyle w:val="xmsonormal"/>
        <w:shd w:val="clear" w:color="auto" w:fill="FFFFFF"/>
        <w:wordWrap w:val="0"/>
        <w:spacing w:before="0" w:beforeAutospacing="0" w:after="0" w:afterAutospacing="0" w:line="420" w:lineRule="atLeast"/>
        <w:rPr>
          <w:color w:val="000000"/>
        </w:rPr>
      </w:pPr>
    </w:p>
    <w:p w14:paraId="608AD7AF" w14:textId="77777777" w:rsidR="00B61516" w:rsidRDefault="00B61516" w:rsidP="00B6151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Noto Sans" w:hAnsi="Noto Sans" w:cs="Noto Sans"/>
          <w:b/>
          <w:bCs/>
          <w:color w:val="333333"/>
          <w:bdr w:val="none" w:sz="0" w:space="0" w:color="auto" w:frame="1"/>
        </w:rPr>
        <w:t>General Information</w:t>
      </w:r>
    </w:p>
    <w:p w14:paraId="49813BFA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 w:line="330" w:lineRule="atLeast"/>
        <w:ind w:left="1590" w:hanging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0"/>
          <w:szCs w:val="20"/>
          <w:bdr w:val="none" w:sz="0" w:space="0" w:color="auto" w:frame="1"/>
        </w:rPr>
        <w:t>o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Noto Sans" w:hAnsi="Noto Sans" w:cs="Noto Sans"/>
          <w:color w:val="333333"/>
          <w:sz w:val="21"/>
          <w:szCs w:val="21"/>
          <w:bdr w:val="none" w:sz="0" w:space="0" w:color="auto" w:frame="1"/>
        </w:rPr>
        <w:t>Job</w:t>
      </w:r>
      <w:proofErr w:type="gramEnd"/>
      <w:r>
        <w:rPr>
          <w:rFonts w:ascii="Noto Sans" w:hAnsi="Noto Sans" w:cs="Noto Sans"/>
          <w:color w:val="333333"/>
          <w:sz w:val="21"/>
          <w:szCs w:val="21"/>
          <w:bdr w:val="none" w:sz="0" w:space="0" w:color="auto" w:frame="1"/>
        </w:rPr>
        <w:t xml:space="preserve"> Title:</w:t>
      </w:r>
    </w:p>
    <w:p w14:paraId="7DE6B2C5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sz w:val="21"/>
          <w:szCs w:val="21"/>
          <w:bdr w:val="none" w:sz="0" w:space="0" w:color="auto" w:frame="1"/>
        </w:rPr>
        <w:t>Human Resources Associate</w:t>
      </w:r>
    </w:p>
    <w:p w14:paraId="16651E50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 w:line="330" w:lineRule="atLeast"/>
        <w:ind w:left="1590" w:hanging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0"/>
          <w:szCs w:val="20"/>
          <w:bdr w:val="none" w:sz="0" w:space="0" w:color="auto" w:frame="1"/>
        </w:rPr>
        <w:t>o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Noto Sans" w:hAnsi="Noto Sans" w:cs="Noto Sans"/>
          <w:color w:val="333333"/>
          <w:sz w:val="21"/>
          <w:szCs w:val="21"/>
          <w:bdr w:val="none" w:sz="0" w:space="0" w:color="auto" w:frame="1"/>
        </w:rPr>
        <w:t>Location</w:t>
      </w:r>
      <w:proofErr w:type="gramEnd"/>
      <w:r>
        <w:rPr>
          <w:rFonts w:ascii="Noto Sans" w:hAnsi="Noto Sans" w:cs="Noto Sans"/>
          <w:color w:val="333333"/>
          <w:sz w:val="21"/>
          <w:szCs w:val="21"/>
          <w:bdr w:val="none" w:sz="0" w:space="0" w:color="auto" w:frame="1"/>
        </w:rPr>
        <w:t>:</w:t>
      </w:r>
    </w:p>
    <w:p w14:paraId="4048A885" w14:textId="77777777" w:rsidR="00B61516" w:rsidRDefault="00B61516" w:rsidP="00B61516">
      <w:pPr>
        <w:pStyle w:val="xmsonormal"/>
        <w:numPr>
          <w:ilvl w:val="2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sz w:val="21"/>
          <w:szCs w:val="21"/>
          <w:bdr w:val="none" w:sz="0" w:space="0" w:color="auto" w:frame="1"/>
        </w:rPr>
        <w:t>145 Hollis St</w:t>
      </w:r>
    </w:p>
    <w:p w14:paraId="3E75DEC4" w14:textId="77777777" w:rsidR="00B61516" w:rsidRDefault="00B61516" w:rsidP="00B61516">
      <w:pPr>
        <w:pStyle w:val="xmsonormal"/>
        <w:numPr>
          <w:ilvl w:val="2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sz w:val="21"/>
          <w:szCs w:val="21"/>
          <w:bdr w:val="none" w:sz="0" w:space="0" w:color="auto" w:frame="1"/>
        </w:rPr>
        <w:t>Manchester, NH, 03101</w:t>
      </w:r>
    </w:p>
    <w:p w14:paraId="4AEFE6FC" w14:textId="77777777" w:rsidR="00B61516" w:rsidRDefault="00B61516" w:rsidP="00B61516">
      <w:pPr>
        <w:pStyle w:val="xmsonormal"/>
        <w:numPr>
          <w:ilvl w:val="2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sz w:val="21"/>
          <w:szCs w:val="21"/>
          <w:bdr w:val="none" w:sz="0" w:space="0" w:color="auto" w:frame="1"/>
        </w:rPr>
        <w:t>United States</w:t>
      </w:r>
    </w:p>
    <w:p w14:paraId="707D2CF5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 w:line="330" w:lineRule="atLeast"/>
        <w:ind w:left="1590" w:hanging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0"/>
          <w:szCs w:val="20"/>
          <w:bdr w:val="none" w:sz="0" w:space="0" w:color="auto" w:frame="1"/>
        </w:rPr>
        <w:t>o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Noto Sans" w:hAnsi="Noto Sans" w:cs="Noto Sans"/>
          <w:color w:val="333333"/>
          <w:sz w:val="21"/>
          <w:szCs w:val="21"/>
          <w:bdr w:val="none" w:sz="0" w:space="0" w:color="auto" w:frame="1"/>
        </w:rPr>
        <w:t>Employee</w:t>
      </w:r>
      <w:proofErr w:type="gramEnd"/>
      <w:r>
        <w:rPr>
          <w:rFonts w:ascii="Noto Sans" w:hAnsi="Noto Sans" w:cs="Noto Sans"/>
          <w:color w:val="333333"/>
          <w:sz w:val="21"/>
          <w:szCs w:val="21"/>
          <w:bdr w:val="none" w:sz="0" w:space="0" w:color="auto" w:frame="1"/>
        </w:rPr>
        <w:t xml:space="preserve"> Type:</w:t>
      </w:r>
    </w:p>
    <w:p w14:paraId="0D32A3ED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sz w:val="21"/>
          <w:szCs w:val="21"/>
          <w:bdr w:val="none" w:sz="0" w:space="0" w:color="auto" w:frame="1"/>
        </w:rPr>
        <w:t>Full-Time</w:t>
      </w:r>
    </w:p>
    <w:p w14:paraId="6AC76462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 w:line="330" w:lineRule="atLeast"/>
        <w:ind w:left="1590" w:hanging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333333"/>
          <w:sz w:val="20"/>
          <w:szCs w:val="20"/>
          <w:bdr w:val="none" w:sz="0" w:space="0" w:color="auto" w:frame="1"/>
        </w:rPr>
        <w:t>o</w:t>
      </w:r>
      <w:r>
        <w:rPr>
          <w:color w:val="333333"/>
          <w:sz w:val="14"/>
          <w:szCs w:val="14"/>
          <w:bdr w:val="none" w:sz="0" w:space="0" w:color="auto" w:frame="1"/>
        </w:rPr>
        <w:t>  </w:t>
      </w:r>
      <w:r>
        <w:rPr>
          <w:rFonts w:ascii="Noto Sans" w:hAnsi="Noto Sans" w:cs="Noto Sans"/>
          <w:color w:val="333333"/>
          <w:sz w:val="21"/>
          <w:szCs w:val="21"/>
          <w:bdr w:val="none" w:sz="0" w:space="0" w:color="auto" w:frame="1"/>
        </w:rPr>
        <w:t>Required</w:t>
      </w:r>
      <w:proofErr w:type="gramEnd"/>
      <w:r>
        <w:rPr>
          <w:rFonts w:ascii="Noto Sans" w:hAnsi="Noto Sans" w:cs="Noto Sans"/>
          <w:color w:val="333333"/>
          <w:sz w:val="21"/>
          <w:szCs w:val="21"/>
          <w:bdr w:val="none" w:sz="0" w:space="0" w:color="auto" w:frame="1"/>
        </w:rPr>
        <w:t xml:space="preserve"> Degree:</w:t>
      </w:r>
    </w:p>
    <w:p w14:paraId="7E62E0A9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 w:line="330" w:lineRule="atLeast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sz w:val="21"/>
          <w:szCs w:val="21"/>
          <w:bdr w:val="none" w:sz="0" w:space="0" w:color="auto" w:frame="1"/>
        </w:rPr>
        <w:t>2 Year Degree</w:t>
      </w:r>
    </w:p>
    <w:p w14:paraId="3251A450" w14:textId="77777777" w:rsidR="00B61516" w:rsidRDefault="00B61516" w:rsidP="00B61516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Noto Sans" w:hAnsi="Noto Sans" w:cs="Noto Sans"/>
          <w:b/>
          <w:bCs/>
          <w:color w:val="333333"/>
          <w:bdr w:val="none" w:sz="0" w:space="0" w:color="auto" w:frame="1"/>
        </w:rPr>
        <w:t>Description</w:t>
      </w:r>
    </w:p>
    <w:p w14:paraId="011960B7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Gadugi" w:hAnsi="Gadugi" w:cs="Calibri"/>
          <w:color w:val="000000"/>
          <w:bdr w:val="none" w:sz="0" w:space="0" w:color="auto" w:frame="1"/>
        </w:rPr>
        <w:t>Amoskeag</w:t>
      </w:r>
      <w:proofErr w:type="spellEnd"/>
      <w:r>
        <w:rPr>
          <w:rFonts w:ascii="Gadugi" w:hAnsi="Gadugi" w:cs="Calibri"/>
          <w:color w:val="000000"/>
          <w:bdr w:val="none" w:sz="0" w:space="0" w:color="auto" w:frame="1"/>
        </w:rPr>
        <w:t xml:space="preserve"> Health is a Federally Qualified Health Center (FQHC) and progressive, nonprofit primary healthcare organization that celebrates its 30th year in 2023!</w:t>
      </w:r>
      <w:r>
        <w:rPr>
          <w:rFonts w:ascii="Gadugi" w:hAnsi="Gadugi" w:cs="Calibri"/>
          <w:color w:val="000000"/>
          <w:bdr w:val="none" w:sz="0" w:space="0" w:color="auto" w:frame="1"/>
        </w:rPr>
        <w:br/>
      </w:r>
      <w:r>
        <w:rPr>
          <w:rFonts w:ascii="Gadugi" w:hAnsi="Gadugi" w:cs="Calibri"/>
          <w:color w:val="000000"/>
          <w:bdr w:val="none" w:sz="0" w:space="0" w:color="auto" w:frame="1"/>
        </w:rPr>
        <w:br/>
        <w:t xml:space="preserve">Our team of healthcare professionals positively impacts the health, </w:t>
      </w:r>
      <w:proofErr w:type="gramStart"/>
      <w:r>
        <w:rPr>
          <w:rFonts w:ascii="Gadugi" w:hAnsi="Gadugi" w:cs="Calibri"/>
          <w:color w:val="000000"/>
          <w:bdr w:val="none" w:sz="0" w:space="0" w:color="auto" w:frame="1"/>
        </w:rPr>
        <w:t>well-being</w:t>
      </w:r>
      <w:proofErr w:type="gramEnd"/>
      <w:r>
        <w:rPr>
          <w:rFonts w:ascii="Gadugi" w:hAnsi="Gadugi" w:cs="Calibri"/>
          <w:color w:val="000000"/>
          <w:bdr w:val="none" w:sz="0" w:space="0" w:color="auto" w:frame="1"/>
        </w:rPr>
        <w:t xml:space="preserve"> and quality of life for those we serve providing comprehensive, integrated, affordable healthcare and education to patients.  We utilize a team-based model including embedded Behavioral Health Clinicians as well as Case Managers, Care Coordinators and Community Health Workers.</w:t>
      </w:r>
    </w:p>
    <w:p w14:paraId="45A0032E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color w:val="000000"/>
          <w:bdr w:val="none" w:sz="0" w:space="0" w:color="auto" w:frame="1"/>
        </w:rPr>
        <w:t> </w:t>
      </w:r>
    </w:p>
    <w:p w14:paraId="26A6C61E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Gadugi" w:hAnsi="Gadug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Gadugi" w:hAnsi="Gadugi" w:cs="Calibri"/>
          <w:color w:val="000000"/>
          <w:sz w:val="22"/>
          <w:szCs w:val="22"/>
          <w:bdr w:val="none" w:sz="0" w:space="0" w:color="auto" w:frame="1"/>
        </w:rPr>
        <w:t>The </w:t>
      </w:r>
      <w:r>
        <w:rPr>
          <w:rFonts w:ascii="Gadugi" w:hAnsi="Gadugi" w:cs="Calibri"/>
          <w:b/>
          <w:bCs/>
          <w:color w:val="000000"/>
          <w:sz w:val="22"/>
          <w:szCs w:val="22"/>
          <w:bdr w:val="none" w:sz="0" w:space="0" w:color="auto" w:frame="1"/>
        </w:rPr>
        <w:t>Human Resources Associate</w:t>
      </w:r>
      <w:r>
        <w:rPr>
          <w:rFonts w:ascii="Gadugi" w:hAnsi="Gadugi" w:cs="Calibri"/>
          <w:color w:val="000000"/>
          <w:sz w:val="22"/>
          <w:szCs w:val="22"/>
          <w:bdr w:val="none" w:sz="0" w:space="0" w:color="auto" w:frame="1"/>
        </w:rPr>
        <w:t> provides guidance and services to employees across the Organization.</w:t>
      </w:r>
    </w:p>
    <w:p w14:paraId="5DAE6CF1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670B39FF" w14:textId="77777777" w:rsidR="00B61516" w:rsidRDefault="00B61516" w:rsidP="00B6151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Noto Sans" w:hAnsi="Noto Sans" w:cs="Noto Sans"/>
          <w:b/>
          <w:bCs/>
          <w:color w:val="333333"/>
          <w:bdr w:val="none" w:sz="0" w:space="0" w:color="auto" w:frame="1"/>
        </w:rPr>
        <w:t>Requirements</w:t>
      </w:r>
    </w:p>
    <w:p w14:paraId="34BCE852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b/>
          <w:bCs/>
          <w:color w:val="000000"/>
          <w:bdr w:val="none" w:sz="0" w:space="0" w:color="auto" w:frame="1"/>
        </w:rPr>
        <w:t>Education:</w:t>
      </w:r>
      <w:r>
        <w:rPr>
          <w:rFonts w:ascii="Gadugi" w:hAnsi="Gadugi" w:cs="Calibri"/>
          <w:color w:val="000000"/>
          <w:bdr w:val="none" w:sz="0" w:space="0" w:color="auto" w:frame="1"/>
        </w:rPr>
        <w:t> </w:t>
      </w:r>
    </w:p>
    <w:p w14:paraId="4E294EDB" w14:textId="77777777" w:rsidR="00B61516" w:rsidRDefault="00B61516" w:rsidP="00B61516">
      <w:pPr>
        <w:pStyle w:val="xmsonormal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Gadugi" w:hAnsi="Gadugi" w:cs="Calibri"/>
          <w:color w:val="000000"/>
          <w:bdr w:val="none" w:sz="0" w:space="0" w:color="auto" w:frame="1"/>
        </w:rPr>
        <w:t>Associate’s</w:t>
      </w:r>
      <w:proofErr w:type="gramEnd"/>
      <w:r>
        <w:rPr>
          <w:rFonts w:ascii="Gadugi" w:hAnsi="Gadugi" w:cs="Calibri"/>
          <w:color w:val="000000"/>
          <w:bdr w:val="none" w:sz="0" w:space="0" w:color="auto" w:frame="1"/>
        </w:rPr>
        <w:t xml:space="preserve"> degree in human resources or related business field; a combination of education and relevant experience may be substituted for the degree.</w:t>
      </w:r>
    </w:p>
    <w:p w14:paraId="21C302D3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b/>
          <w:bCs/>
          <w:color w:val="000000"/>
          <w:bdr w:val="none" w:sz="0" w:space="0" w:color="auto" w:frame="1"/>
        </w:rPr>
        <w:t>Experience:</w:t>
      </w:r>
    </w:p>
    <w:p w14:paraId="51501545" w14:textId="77777777" w:rsidR="00B61516" w:rsidRDefault="00B61516" w:rsidP="00B61516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color w:val="000000"/>
          <w:bdr w:val="none" w:sz="0" w:space="0" w:color="auto" w:frame="1"/>
        </w:rPr>
        <w:t>A minimum of 2 years in Human Resources and benefit administration required or related equivalent experience.</w:t>
      </w:r>
    </w:p>
    <w:p w14:paraId="084CCFE3" w14:textId="77777777" w:rsidR="00B61516" w:rsidRDefault="00B61516" w:rsidP="00B61516">
      <w:pPr>
        <w:pStyle w:val="x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color w:val="000000"/>
          <w:bdr w:val="none" w:sz="0" w:space="0" w:color="auto" w:frame="1"/>
        </w:rPr>
        <w:t>Proficiency with Microsoft Office and HRIS systems - UKG/Kronos experience preferred.</w:t>
      </w:r>
    </w:p>
    <w:p w14:paraId="05CFE673" w14:textId="77777777" w:rsidR="00B61516" w:rsidRDefault="00B61516" w:rsidP="00B61516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color w:val="000000"/>
          <w:bdr w:val="none" w:sz="0" w:space="0" w:color="auto" w:frame="1"/>
        </w:rPr>
        <w:t xml:space="preserve">Understanding of human resource laws/regulation, </w:t>
      </w:r>
      <w:proofErr w:type="gramStart"/>
      <w:r>
        <w:rPr>
          <w:rFonts w:ascii="Gadugi" w:hAnsi="Gadugi" w:cs="Calibri"/>
          <w:color w:val="000000"/>
          <w:bdr w:val="none" w:sz="0" w:space="0" w:color="auto" w:frame="1"/>
        </w:rPr>
        <w:t>policies</w:t>
      </w:r>
      <w:proofErr w:type="gramEnd"/>
      <w:r>
        <w:rPr>
          <w:rFonts w:ascii="Gadugi" w:hAnsi="Gadugi" w:cs="Calibri"/>
          <w:color w:val="000000"/>
          <w:bdr w:val="none" w:sz="0" w:space="0" w:color="auto" w:frame="1"/>
        </w:rPr>
        <w:t xml:space="preserve"> and procedures</w:t>
      </w:r>
    </w:p>
    <w:p w14:paraId="13C878FC" w14:textId="77777777" w:rsidR="00B61516" w:rsidRDefault="00B61516" w:rsidP="00B61516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 w:line="285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Noto Sans" w:hAnsi="Noto Sans" w:cs="Noto Sans"/>
          <w:b/>
          <w:bCs/>
          <w:color w:val="333333"/>
          <w:bdr w:val="none" w:sz="0" w:space="0" w:color="auto" w:frame="1"/>
        </w:rPr>
        <w:lastRenderedPageBreak/>
        <w:t>Summary</w:t>
      </w:r>
    </w:p>
    <w:p w14:paraId="0CD61FA9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sz w:val="28"/>
          <w:szCs w:val="28"/>
          <w:bdr w:val="none" w:sz="0" w:space="0" w:color="auto" w:frame="1"/>
        </w:rPr>
        <w:t> </w:t>
      </w:r>
    </w:p>
    <w:p w14:paraId="0D894E25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b/>
          <w:bCs/>
          <w:color w:val="000000"/>
          <w:u w:val="single"/>
          <w:bdr w:val="none" w:sz="0" w:space="0" w:color="auto" w:frame="1"/>
        </w:rPr>
        <w:t>Compensation:</w:t>
      </w:r>
      <w:r>
        <w:rPr>
          <w:rFonts w:ascii="Gadugi" w:hAnsi="Gadugi" w:cs="Calibri"/>
          <w:color w:val="000000"/>
          <w:bdr w:val="none" w:sz="0" w:space="0" w:color="auto" w:frame="1"/>
        </w:rPr>
        <w:t> The starting rate for this position is $19.19 per hour and can increase depending on experience. </w:t>
      </w:r>
    </w:p>
    <w:p w14:paraId="67879A4F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b/>
          <w:bCs/>
          <w:color w:val="000000"/>
          <w:u w:val="single"/>
          <w:bdr w:val="none" w:sz="0" w:space="0" w:color="auto" w:frame="1"/>
        </w:rPr>
        <w:t>Responsibilities:</w:t>
      </w:r>
    </w:p>
    <w:p w14:paraId="5837C3BB" w14:textId="77777777" w:rsidR="00B61516" w:rsidRDefault="00B61516" w:rsidP="00B61516">
      <w:pPr>
        <w:pStyle w:val="xmsonormal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color w:val="000000"/>
          <w:bdr w:val="none" w:sz="0" w:space="0" w:color="auto" w:frame="1"/>
        </w:rPr>
        <w:t>Facilitating employee benefit enrollment, status changes and terminations</w:t>
      </w:r>
    </w:p>
    <w:p w14:paraId="6E5CC083" w14:textId="77777777" w:rsidR="00B61516" w:rsidRDefault="00B61516" w:rsidP="00B61516">
      <w:pPr>
        <w:pStyle w:val="xmsonormal"/>
        <w:numPr>
          <w:ilvl w:val="1"/>
          <w:numId w:val="1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>Serves as the primary point of contact for employees, plan vendors and TPAs regarding benefits related questions and concerns.</w:t>
      </w:r>
    </w:p>
    <w:p w14:paraId="77524AC9" w14:textId="77777777" w:rsidR="00B61516" w:rsidRDefault="00B61516" w:rsidP="00B61516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 xml:space="preserve">Works with the benefits broker to ensure benefits information is updated and ERISA compliant and to address any administrative issues with the </w:t>
      </w:r>
      <w:proofErr w:type="gramStart"/>
      <w:r>
        <w:rPr>
          <w:rFonts w:ascii="Noto Sans" w:hAnsi="Noto Sans" w:cs="Noto Sans"/>
          <w:color w:val="000000"/>
          <w:bdr w:val="none" w:sz="0" w:space="0" w:color="auto" w:frame="1"/>
        </w:rPr>
        <w:t>carriers</w:t>
      </w:r>
      <w:proofErr w:type="gramEnd"/>
    </w:p>
    <w:p w14:paraId="2B0C021F" w14:textId="77777777" w:rsidR="00B61516" w:rsidRDefault="00B61516" w:rsidP="00B61516">
      <w:pPr>
        <w:pStyle w:val="xmsonormal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>Works with the financial advisor on the 403(b) Retirement plan regarding information for employees and to coordinate on-site meetings.</w:t>
      </w:r>
    </w:p>
    <w:p w14:paraId="06BA37E8" w14:textId="77777777" w:rsidR="00B61516" w:rsidRDefault="00B61516" w:rsidP="00B61516">
      <w:pPr>
        <w:pStyle w:val="xmsonormal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>Works with the HR Director to facilitate the required benefit-related reporting such as OSHA, ACA 1095 forms.</w:t>
      </w:r>
    </w:p>
    <w:p w14:paraId="30FF6E30" w14:textId="77777777" w:rsidR="00B61516" w:rsidRDefault="00B61516" w:rsidP="00B61516">
      <w:pPr>
        <w:pStyle w:val="xmsonormal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>Coordinates and processes annual performance reviews and updates compensation changes in the HR system.</w:t>
      </w:r>
    </w:p>
    <w:p w14:paraId="5232F609" w14:textId="77777777" w:rsidR="00B61516" w:rsidRDefault="00B61516" w:rsidP="00B61516">
      <w:pPr>
        <w:pStyle w:val="xmsonormal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>Serving as the point of contact for work-related injuries/issues and as the liaison with the Workers Comp carrier.</w:t>
      </w:r>
    </w:p>
    <w:p w14:paraId="0815A5DE" w14:textId="77777777" w:rsidR="00B61516" w:rsidRDefault="00B61516" w:rsidP="00B61516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 xml:space="preserve">Administers all leave of </w:t>
      </w:r>
      <w:proofErr w:type="gramStart"/>
      <w:r>
        <w:rPr>
          <w:rFonts w:ascii="Noto Sans" w:hAnsi="Noto Sans" w:cs="Noto Sans"/>
          <w:color w:val="000000"/>
          <w:bdr w:val="none" w:sz="0" w:space="0" w:color="auto" w:frame="1"/>
        </w:rPr>
        <w:t>absences</w:t>
      </w:r>
      <w:proofErr w:type="gramEnd"/>
      <w:r>
        <w:rPr>
          <w:rFonts w:ascii="Noto Sans" w:hAnsi="Noto Sans" w:cs="Noto Sans"/>
          <w:color w:val="000000"/>
          <w:bdr w:val="none" w:sz="0" w:space="0" w:color="auto" w:frame="1"/>
        </w:rPr>
        <w:t>.</w:t>
      </w:r>
    </w:p>
    <w:p w14:paraId="4188ED05" w14:textId="77777777" w:rsidR="00B61516" w:rsidRDefault="00B61516" w:rsidP="00B61516">
      <w:pPr>
        <w:pStyle w:val="xmsonormal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>Facilitating Short Term Disability (STD) claims process, as applicable.</w:t>
      </w:r>
    </w:p>
    <w:p w14:paraId="3CF9BB93" w14:textId="77777777" w:rsidR="00B61516" w:rsidRDefault="00B61516" w:rsidP="00B61516">
      <w:pPr>
        <w:pStyle w:val="xmsonormal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>Works with the HR Director to develop, revise, update, and maintain the benefits presentation/ material, as appropriate. Ensures all new hires are educated about the benefit enrollment process.</w:t>
      </w:r>
    </w:p>
    <w:p w14:paraId="539DB950" w14:textId="77777777" w:rsidR="00B61516" w:rsidRDefault="00B61516" w:rsidP="00B61516">
      <w:pPr>
        <w:pStyle w:val="xmsonormal"/>
        <w:numPr>
          <w:ilvl w:val="1"/>
          <w:numId w:val="20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 xml:space="preserve">Assists the HR Director in generating statistics and information needed for the benefits renewal process and retirement plan </w:t>
      </w:r>
      <w:proofErr w:type="gramStart"/>
      <w:r>
        <w:rPr>
          <w:rFonts w:ascii="Noto Sans" w:hAnsi="Noto Sans" w:cs="Noto Sans"/>
          <w:color w:val="000000"/>
          <w:bdr w:val="none" w:sz="0" w:space="0" w:color="auto" w:frame="1"/>
        </w:rPr>
        <w:t>review</w:t>
      </w:r>
      <w:proofErr w:type="gramEnd"/>
    </w:p>
    <w:p w14:paraId="64DB13C4" w14:textId="77777777" w:rsidR="00B61516" w:rsidRDefault="00B61516" w:rsidP="00B61516">
      <w:pPr>
        <w:pStyle w:val="xmsonormal"/>
        <w:numPr>
          <w:ilvl w:val="1"/>
          <w:numId w:val="2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Noto Sans" w:hAnsi="Noto Sans" w:cs="Noto Sans"/>
          <w:color w:val="000000"/>
          <w:bdr w:val="none" w:sz="0" w:space="0" w:color="auto" w:frame="1"/>
        </w:rPr>
        <w:t xml:space="preserve">Assists with HR-related projects including annual review of, and updates to, job </w:t>
      </w:r>
      <w:proofErr w:type="gramStart"/>
      <w:r>
        <w:rPr>
          <w:rFonts w:ascii="Noto Sans" w:hAnsi="Noto Sans" w:cs="Noto Sans"/>
          <w:color w:val="000000"/>
          <w:bdr w:val="none" w:sz="0" w:space="0" w:color="auto" w:frame="1"/>
        </w:rPr>
        <w:t>descriptions</w:t>
      </w:r>
      <w:proofErr w:type="gramEnd"/>
    </w:p>
    <w:p w14:paraId="43924103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b/>
          <w:bCs/>
          <w:color w:val="000000"/>
          <w:u w:val="single"/>
          <w:bdr w:val="none" w:sz="0" w:space="0" w:color="auto" w:frame="1"/>
        </w:rPr>
        <w:t>Benefits:</w:t>
      </w:r>
    </w:p>
    <w:p w14:paraId="5CD4DEC3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dugi" w:hAnsi="Gadugi" w:cs="Calibri"/>
          <w:color w:val="000000"/>
          <w:bdr w:val="none" w:sz="0" w:space="0" w:color="auto" w:frame="1"/>
        </w:rPr>
        <w:t>Medical, Dental, Vision, 403B with Company Match, Paid Time Off, Life Insurance, Continuing Education Opportunities and more!</w:t>
      </w:r>
    </w:p>
    <w:p w14:paraId="6D72D466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jc w:val="center"/>
        <w:rPr>
          <w:rFonts w:ascii="Gadugi" w:hAnsi="Gadugi" w:cs="Calibri"/>
          <w:i/>
          <w:iCs/>
          <w:color w:val="BA372A"/>
          <w:bdr w:val="none" w:sz="0" w:space="0" w:color="auto" w:frame="1"/>
          <w:shd w:val="clear" w:color="auto" w:fill="FFFFFF"/>
        </w:rPr>
      </w:pPr>
      <w:proofErr w:type="spellStart"/>
      <w:r>
        <w:rPr>
          <w:rFonts w:ascii="Gadugi" w:hAnsi="Gadugi" w:cs="Calibri"/>
          <w:i/>
          <w:iCs/>
          <w:color w:val="BA372A"/>
          <w:bdr w:val="none" w:sz="0" w:space="0" w:color="auto" w:frame="1"/>
          <w:shd w:val="clear" w:color="auto" w:fill="FFFFFF"/>
        </w:rPr>
        <w:t>Amoskeag</w:t>
      </w:r>
      <w:proofErr w:type="spellEnd"/>
      <w:r>
        <w:rPr>
          <w:rFonts w:ascii="Gadugi" w:hAnsi="Gadugi" w:cs="Calibri"/>
          <w:i/>
          <w:iCs/>
          <w:color w:val="BA372A"/>
          <w:bdr w:val="none" w:sz="0" w:space="0" w:color="auto" w:frame="1"/>
          <w:shd w:val="clear" w:color="auto" w:fill="FFFFFF"/>
        </w:rPr>
        <w:t xml:space="preserve"> Health has a policy requiring proof of full vaccinations per CDC guidelines, including both COVID 19/Booster and annual influenza.  Staff may request </w:t>
      </w:r>
      <w:proofErr w:type="gramStart"/>
      <w:r>
        <w:rPr>
          <w:rFonts w:ascii="Gadugi" w:hAnsi="Gadugi" w:cs="Calibri"/>
          <w:i/>
          <w:iCs/>
          <w:color w:val="BA372A"/>
          <w:bdr w:val="none" w:sz="0" w:space="0" w:color="auto" w:frame="1"/>
          <w:shd w:val="clear" w:color="auto" w:fill="FFFFFF"/>
        </w:rPr>
        <w:t>a reasonable</w:t>
      </w:r>
      <w:proofErr w:type="gramEnd"/>
      <w:r>
        <w:rPr>
          <w:rFonts w:ascii="Gadugi" w:hAnsi="Gadugi" w:cs="Calibri"/>
          <w:i/>
          <w:iCs/>
          <w:color w:val="BA372A"/>
          <w:bdr w:val="none" w:sz="0" w:space="0" w:color="auto" w:frame="1"/>
          <w:shd w:val="clear" w:color="auto" w:fill="FFFFFF"/>
        </w:rPr>
        <w:t xml:space="preserve"> accommodation for a religious or medical exemption from these policies, but such a request is not a guarantee that the accommodation can be made.</w:t>
      </w:r>
    </w:p>
    <w:p w14:paraId="2BEA4AB6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jc w:val="center"/>
        <w:rPr>
          <w:rFonts w:ascii="Gadugi" w:hAnsi="Gadugi" w:cs="Calibri"/>
          <w:i/>
          <w:iCs/>
          <w:color w:val="BA372A"/>
          <w:bdr w:val="none" w:sz="0" w:space="0" w:color="auto" w:frame="1"/>
          <w:shd w:val="clear" w:color="auto" w:fill="FFFFFF"/>
        </w:rPr>
      </w:pPr>
    </w:p>
    <w:p w14:paraId="1628CEDC" w14:textId="77777777" w:rsidR="00B61516" w:rsidRDefault="00B61516" w:rsidP="00B61516">
      <w:pPr>
        <w:pStyle w:val="xmsonormal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6981BC1" w14:textId="77777777" w:rsidR="00DC7560" w:rsidRDefault="00DC7560"/>
    <w:sectPr w:rsidR="00DC7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AA9"/>
    <w:multiLevelType w:val="multilevel"/>
    <w:tmpl w:val="A458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37AB8"/>
    <w:multiLevelType w:val="multilevel"/>
    <w:tmpl w:val="5D6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E03AC"/>
    <w:multiLevelType w:val="multilevel"/>
    <w:tmpl w:val="F524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205F6"/>
    <w:multiLevelType w:val="multilevel"/>
    <w:tmpl w:val="AD2E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B0DC3"/>
    <w:multiLevelType w:val="multilevel"/>
    <w:tmpl w:val="4F2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9D0F54"/>
    <w:multiLevelType w:val="multilevel"/>
    <w:tmpl w:val="866A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6A42A3"/>
    <w:multiLevelType w:val="multilevel"/>
    <w:tmpl w:val="2DE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82256"/>
    <w:multiLevelType w:val="multilevel"/>
    <w:tmpl w:val="0D94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9109D5"/>
    <w:multiLevelType w:val="multilevel"/>
    <w:tmpl w:val="BCE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D344FF"/>
    <w:multiLevelType w:val="multilevel"/>
    <w:tmpl w:val="7D8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BE082D"/>
    <w:multiLevelType w:val="multilevel"/>
    <w:tmpl w:val="A080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3F11EE"/>
    <w:multiLevelType w:val="multilevel"/>
    <w:tmpl w:val="00DE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D11515"/>
    <w:multiLevelType w:val="multilevel"/>
    <w:tmpl w:val="0D2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B06332"/>
    <w:multiLevelType w:val="multilevel"/>
    <w:tmpl w:val="A5B8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0D5299"/>
    <w:multiLevelType w:val="multilevel"/>
    <w:tmpl w:val="DC92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537EA8"/>
    <w:multiLevelType w:val="multilevel"/>
    <w:tmpl w:val="83D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51150C"/>
    <w:multiLevelType w:val="multilevel"/>
    <w:tmpl w:val="27B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51753A"/>
    <w:multiLevelType w:val="multilevel"/>
    <w:tmpl w:val="293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136C78"/>
    <w:multiLevelType w:val="multilevel"/>
    <w:tmpl w:val="157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402C4A"/>
    <w:multiLevelType w:val="multilevel"/>
    <w:tmpl w:val="A80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6E7147"/>
    <w:multiLevelType w:val="multilevel"/>
    <w:tmpl w:val="E500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6459606">
    <w:abstractNumId w:val="0"/>
  </w:num>
  <w:num w:numId="2" w16cid:durableId="1030255745">
    <w:abstractNumId w:val="14"/>
  </w:num>
  <w:num w:numId="3" w16cid:durableId="1212158072">
    <w:abstractNumId w:val="5"/>
  </w:num>
  <w:num w:numId="4" w16cid:durableId="1828588485">
    <w:abstractNumId w:val="20"/>
  </w:num>
  <w:num w:numId="5" w16cid:durableId="1081104263">
    <w:abstractNumId w:val="13"/>
  </w:num>
  <w:num w:numId="6" w16cid:durableId="213322204">
    <w:abstractNumId w:val="18"/>
  </w:num>
  <w:num w:numId="7" w16cid:durableId="1717581576">
    <w:abstractNumId w:val="6"/>
  </w:num>
  <w:num w:numId="8" w16cid:durableId="1660770021">
    <w:abstractNumId w:val="15"/>
  </w:num>
  <w:num w:numId="9" w16cid:durableId="1714846385">
    <w:abstractNumId w:val="9"/>
  </w:num>
  <w:num w:numId="10" w16cid:durableId="928268174">
    <w:abstractNumId w:val="11"/>
  </w:num>
  <w:num w:numId="11" w16cid:durableId="1804272155">
    <w:abstractNumId w:val="8"/>
  </w:num>
  <w:num w:numId="12" w16cid:durableId="1856386962">
    <w:abstractNumId w:val="7"/>
  </w:num>
  <w:num w:numId="13" w16cid:durableId="133912682">
    <w:abstractNumId w:val="16"/>
  </w:num>
  <w:num w:numId="14" w16cid:durableId="761947408">
    <w:abstractNumId w:val="1"/>
  </w:num>
  <w:num w:numId="15" w16cid:durableId="1932619936">
    <w:abstractNumId w:val="10"/>
  </w:num>
  <w:num w:numId="16" w16cid:durableId="1870289408">
    <w:abstractNumId w:val="4"/>
  </w:num>
  <w:num w:numId="17" w16cid:durableId="2069299899">
    <w:abstractNumId w:val="2"/>
  </w:num>
  <w:num w:numId="18" w16cid:durableId="1816294462">
    <w:abstractNumId w:val="12"/>
  </w:num>
  <w:num w:numId="19" w16cid:durableId="924729375">
    <w:abstractNumId w:val="3"/>
  </w:num>
  <w:num w:numId="20" w16cid:durableId="675419403">
    <w:abstractNumId w:val="19"/>
  </w:num>
  <w:num w:numId="21" w16cid:durableId="310761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16"/>
    <w:rsid w:val="00B61516"/>
    <w:rsid w:val="00D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01EE"/>
  <w15:chartTrackingRefBased/>
  <w15:docId w15:val="{822B71AF-07B3-412D-B185-0DFD557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6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cure4.saashr.com/ta/6104277.careers?Careers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Orans-Spizzirro</dc:creator>
  <cp:keywords/>
  <dc:description/>
  <cp:lastModifiedBy>Sarah Orans-Spizzirro</cp:lastModifiedBy>
  <cp:revision>1</cp:revision>
  <dcterms:created xsi:type="dcterms:W3CDTF">2023-06-05T12:11:00Z</dcterms:created>
  <dcterms:modified xsi:type="dcterms:W3CDTF">2023-06-05T12:12:00Z</dcterms:modified>
</cp:coreProperties>
</file>