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F55DC4" w:rsidRPr="00F55DC4" w:rsidP="00903DA9">
      <w:pPr>
        <w:pStyle w:val="Subtitle"/>
        <w:rPr>
          <w:bCs/>
          <w:caps w:val="0"/>
          <w:smallCaps/>
          <w:sz w:val="32"/>
        </w:rPr>
      </w:pPr>
      <w:bookmarkStart w:id="0" w:name="_GoBack"/>
      <w:bookmarkEnd w:id="0"/>
      <w:r w:rsidRPr="00F55DC4">
        <w:rPr>
          <w:bCs/>
          <w:caps w:val="0"/>
          <w:smallCaps/>
          <w:sz w:val="32"/>
        </w:rPr>
        <w:t>Manchester Area Human Resources Association</w:t>
      </w:r>
    </w:p>
    <w:p w:rsidR="00F55DC4" w:rsidRPr="00F55DC4" w:rsidP="00903DA9">
      <w:pPr>
        <w:pStyle w:val="Subtitle"/>
        <w:rPr>
          <w:bCs/>
          <w:caps w:val="0"/>
          <w:smallCaps/>
          <w:sz w:val="32"/>
        </w:rPr>
      </w:pPr>
    </w:p>
    <w:p w:rsidR="00F55DC4" w:rsidRPr="00F55DC4" w:rsidP="000A560F">
      <w:pPr>
        <w:pStyle w:val="Subtitle"/>
        <w:rPr>
          <w:bCs/>
          <w:caps w:val="0"/>
          <w:smallCaps/>
          <w:sz w:val="32"/>
        </w:rPr>
      </w:pPr>
      <w:r>
        <w:rPr>
          <w:bCs/>
          <w:caps w:val="0"/>
          <w:smallCaps/>
          <w:sz w:val="32"/>
        </w:rPr>
        <w:t>March</w:t>
      </w:r>
      <w:r w:rsidRPr="00F55DC4">
        <w:rPr>
          <w:bCs/>
          <w:caps w:val="0"/>
          <w:smallCaps/>
          <w:sz w:val="32"/>
        </w:rPr>
        <w:t xml:space="preserve"> 12, 2019</w:t>
      </w:r>
    </w:p>
    <w:p w:rsidR="00F55DC4" w:rsidP="00903DA9">
      <w:pPr>
        <w:pStyle w:val="Subtitle"/>
        <w:rPr>
          <w:bCs/>
          <w:caps w:val="0"/>
          <w:sz w:val="32"/>
        </w:rPr>
      </w:pPr>
    </w:p>
    <w:p w:rsidR="00073800" w:rsidRPr="001E62B7" w:rsidP="00903DA9">
      <w:pPr>
        <w:pStyle w:val="Subtitle"/>
        <w:rPr>
          <w:bCs/>
          <w:caps w:val="0"/>
          <w:sz w:val="28"/>
        </w:rPr>
      </w:pPr>
      <w:r w:rsidRPr="00AD2901">
        <w:rPr>
          <w:bCs/>
          <w:caps w:val="0"/>
          <w:sz w:val="32"/>
        </w:rPr>
        <w:t>LEGAL AND LEGISLATIVE UPDATE</w:t>
      </w:r>
    </w:p>
    <w:p w:rsidR="00073800" w:rsidP="00903DA9">
      <w:pPr>
        <w:jc w:val="center"/>
        <w:rPr>
          <w:b/>
          <w:i/>
        </w:rPr>
      </w:pPr>
    </w:p>
    <w:p w:rsidR="00073800" w:rsidRPr="001E62B7" w:rsidP="00903DA9">
      <w:pPr>
        <w:pStyle w:val="Subtitle"/>
        <w:rPr>
          <w:sz w:val="28"/>
        </w:rPr>
      </w:pPr>
      <w:r w:rsidRPr="001E62B7">
        <w:rPr>
          <w:caps w:val="0"/>
          <w:sz w:val="28"/>
        </w:rPr>
        <w:t>by</w:t>
      </w:r>
    </w:p>
    <w:p w:rsidR="00FD7D2C" w:rsidP="00903DA9">
      <w:pPr>
        <w:jc w:val="center"/>
        <w:rPr>
          <w:b/>
          <w:sz w:val="28"/>
        </w:rPr>
      </w:pPr>
    </w:p>
    <w:p w:rsidR="00105DE2" w:rsidRPr="001E62B7" w:rsidP="00903DA9">
      <w:pPr>
        <w:jc w:val="center"/>
        <w:rPr>
          <w:b/>
          <w:sz w:val="28"/>
        </w:rPr>
      </w:pPr>
      <w:r w:rsidRPr="001E62B7">
        <w:rPr>
          <w:b/>
          <w:sz w:val="28"/>
        </w:rPr>
        <w:t>Attorney Jim Reidy</w:t>
      </w:r>
    </w:p>
    <w:p w:rsidR="00105DE2" w:rsidRPr="001E62B7" w:rsidP="00903DA9">
      <w:pPr>
        <w:jc w:val="center"/>
        <w:rPr>
          <w:b/>
        </w:rPr>
      </w:pPr>
    </w:p>
    <w:p w:rsidR="00105DE2" w:rsidP="00903DA9">
      <w:pPr>
        <w:jc w:val="center"/>
        <w:rPr>
          <w:b/>
        </w:rPr>
      </w:pPr>
      <w:r>
        <w:rPr>
          <w:b/>
          <w:noProof/>
        </w:rPr>
        <w:drawing>
          <wp:inline distT="0" distB="0" distL="0" distR="0">
            <wp:extent cx="2057400"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04468"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7400" cy="434340"/>
                    </a:xfrm>
                    <a:prstGeom prst="rect">
                      <a:avLst/>
                    </a:prstGeom>
                    <a:noFill/>
                    <a:ln>
                      <a:noFill/>
                    </a:ln>
                  </pic:spPr>
                </pic:pic>
              </a:graphicData>
            </a:graphic>
          </wp:inline>
        </w:drawing>
      </w:r>
    </w:p>
    <w:p w:rsidR="00105DE2" w:rsidP="00903DA9">
      <w:pPr>
        <w:jc w:val="center"/>
      </w:pPr>
    </w:p>
    <w:p w:rsidR="00105DE2" w:rsidP="00903DA9">
      <w:pPr>
        <w:jc w:val="center"/>
        <w:rPr>
          <w:b/>
          <w:bCs/>
        </w:rPr>
      </w:pPr>
      <w:r>
        <w:rPr>
          <w:b/>
          <w:bCs/>
        </w:rPr>
        <w:t>Sheehan P</w:t>
      </w:r>
      <w:r w:rsidR="001958EE">
        <w:rPr>
          <w:b/>
          <w:bCs/>
        </w:rPr>
        <w:t xml:space="preserve">hinney Bass </w:t>
      </w:r>
      <w:r w:rsidR="003037E4">
        <w:rPr>
          <w:b/>
          <w:bCs/>
        </w:rPr>
        <w:t>&amp;</w:t>
      </w:r>
      <w:r w:rsidR="001958EE">
        <w:rPr>
          <w:b/>
          <w:bCs/>
        </w:rPr>
        <w:t xml:space="preserve"> Green PA</w:t>
      </w:r>
    </w:p>
    <w:p w:rsidR="00105DE2" w:rsidP="00903DA9">
      <w:pPr>
        <w:jc w:val="center"/>
      </w:pPr>
      <w:r>
        <w:rPr>
          <w:b/>
          <w:bCs/>
        </w:rPr>
        <w:t xml:space="preserve">1000 </w:t>
      </w:r>
      <w:r>
        <w:rPr>
          <w:b/>
          <w:bCs/>
          <w:caps/>
        </w:rPr>
        <w:t>E</w:t>
      </w:r>
      <w:r>
        <w:rPr>
          <w:b/>
          <w:bCs/>
        </w:rPr>
        <w:t>lm Street</w:t>
      </w:r>
    </w:p>
    <w:p w:rsidR="00105DE2" w:rsidP="00903DA9">
      <w:pPr>
        <w:jc w:val="center"/>
        <w:rPr>
          <w:b/>
        </w:rPr>
      </w:pPr>
      <w:r>
        <w:rPr>
          <w:b/>
        </w:rPr>
        <w:t>Manchester, NH 03105-3701</w:t>
      </w:r>
    </w:p>
    <w:p w:rsidR="00105DE2" w:rsidP="00903DA9">
      <w:pPr>
        <w:jc w:val="center"/>
        <w:rPr>
          <w:b/>
        </w:rPr>
      </w:pPr>
      <w:r>
        <w:rPr>
          <w:b/>
        </w:rPr>
        <w:t>(603)</w:t>
      </w:r>
      <w:r w:rsidR="002B0B3E">
        <w:rPr>
          <w:b/>
        </w:rPr>
        <w:t xml:space="preserve"> </w:t>
      </w:r>
      <w:r>
        <w:rPr>
          <w:b/>
        </w:rPr>
        <w:t>627-8217</w:t>
      </w:r>
      <w:r w:rsidR="00554539">
        <w:rPr>
          <w:b/>
        </w:rPr>
        <w:t xml:space="preserve"> </w:t>
      </w:r>
    </w:p>
    <w:p w:rsidR="00105DE2" w:rsidP="00903DA9">
      <w:pPr>
        <w:jc w:val="center"/>
        <w:rPr>
          <w:b/>
        </w:rPr>
      </w:pPr>
      <w:r>
        <w:rPr>
          <w:b/>
        </w:rPr>
        <w:t>jreidy@sheehan.com</w:t>
      </w:r>
    </w:p>
    <w:p w:rsidR="00105DE2" w:rsidP="00903DA9">
      <w:pPr>
        <w:jc w:val="center"/>
        <w:rPr>
          <w:b/>
        </w:rPr>
      </w:pPr>
      <w:r>
        <w:rPr>
          <w:b/>
        </w:rPr>
        <w:t>www.sheehan.com</w:t>
      </w:r>
    </w:p>
    <w:p w:rsidR="00BF0A1C" w:rsidP="00C02B4F">
      <w:pPr>
        <w:jc w:val="center"/>
        <w:rPr>
          <w:b/>
          <w:sz w:val="32"/>
        </w:rPr>
      </w:pPr>
    </w:p>
    <w:p w:rsidR="0063157A" w:rsidP="00C02B4F">
      <w:pPr>
        <w:jc w:val="center"/>
        <w:rPr>
          <w:b/>
          <w:sz w:val="32"/>
        </w:rPr>
      </w:pPr>
    </w:p>
    <w:p w:rsidR="00DF6C9C" w:rsidP="0063157A">
      <w:pPr>
        <w:spacing w:line="288" w:lineRule="atLeast"/>
        <w:jc w:val="center"/>
        <w:textAlignment w:val="baseline"/>
        <w:outlineLvl w:val="0"/>
        <w:rPr>
          <w:b/>
          <w:kern w:val="36"/>
          <w:sz w:val="28"/>
          <w:szCs w:val="28"/>
        </w:rPr>
      </w:pPr>
      <w:r>
        <w:rPr>
          <w:b/>
          <w:kern w:val="36"/>
          <w:sz w:val="28"/>
          <w:szCs w:val="28"/>
        </w:rPr>
        <w:t xml:space="preserve">SPRING AHEAD (NOT FALL BACK):  </w:t>
      </w:r>
      <w:r>
        <w:rPr>
          <w:b/>
          <w:kern w:val="36"/>
          <w:sz w:val="28"/>
          <w:szCs w:val="28"/>
        </w:rPr>
        <w:t>Soon it Could be (but not yet)</w:t>
      </w:r>
    </w:p>
    <w:p w:rsidR="00E44D51" w:rsidP="0063157A">
      <w:pPr>
        <w:spacing w:line="288" w:lineRule="atLeast"/>
        <w:jc w:val="center"/>
        <w:textAlignment w:val="baseline"/>
        <w:outlineLvl w:val="0"/>
        <w:rPr>
          <w:b/>
          <w:kern w:val="36"/>
          <w:sz w:val="28"/>
          <w:szCs w:val="28"/>
        </w:rPr>
      </w:pPr>
      <w:r>
        <w:rPr>
          <w:b/>
          <w:kern w:val="36"/>
          <w:sz w:val="28"/>
          <w:szCs w:val="28"/>
        </w:rPr>
        <w:t xml:space="preserve">Time to Review </w:t>
      </w:r>
      <w:r w:rsidR="00DF6C9C">
        <w:rPr>
          <w:b/>
          <w:kern w:val="36"/>
          <w:sz w:val="28"/>
          <w:szCs w:val="28"/>
        </w:rPr>
        <w:t xml:space="preserve">and Update </w:t>
      </w:r>
      <w:r>
        <w:rPr>
          <w:b/>
          <w:kern w:val="36"/>
          <w:sz w:val="28"/>
          <w:szCs w:val="28"/>
        </w:rPr>
        <w:t>Overtime Exemptions</w:t>
      </w:r>
    </w:p>
    <w:p w:rsidR="00147B99" w:rsidP="0063157A">
      <w:pPr>
        <w:spacing w:line="288" w:lineRule="atLeast"/>
        <w:jc w:val="center"/>
        <w:textAlignment w:val="baseline"/>
        <w:outlineLvl w:val="0"/>
        <w:rPr>
          <w:b/>
          <w:kern w:val="36"/>
          <w:sz w:val="28"/>
          <w:szCs w:val="28"/>
        </w:rPr>
      </w:pPr>
    </w:p>
    <w:p w:rsidR="0063157A" w:rsidRPr="00E44D51" w:rsidP="0063157A">
      <w:pPr>
        <w:spacing w:line="288" w:lineRule="atLeast"/>
        <w:jc w:val="center"/>
        <w:textAlignment w:val="baseline"/>
        <w:outlineLvl w:val="0"/>
        <w:rPr>
          <w:b/>
          <w:i/>
          <w:kern w:val="36"/>
          <w:sz w:val="28"/>
          <w:szCs w:val="28"/>
        </w:rPr>
      </w:pPr>
      <w:r w:rsidRPr="00E44D51">
        <w:rPr>
          <w:b/>
          <w:i/>
          <w:kern w:val="36"/>
          <w:sz w:val="28"/>
          <w:szCs w:val="28"/>
        </w:rPr>
        <w:t xml:space="preserve">U.S. DEPARTMENT OF LABOR RELEASES </w:t>
      </w:r>
      <w:r w:rsidR="00E44D51">
        <w:rPr>
          <w:b/>
          <w:i/>
          <w:kern w:val="36"/>
          <w:sz w:val="28"/>
          <w:szCs w:val="28"/>
        </w:rPr>
        <w:t>NEW</w:t>
      </w:r>
    </w:p>
    <w:p w:rsidR="0063157A" w:rsidRPr="00E44D51" w:rsidP="0063157A">
      <w:pPr>
        <w:spacing w:line="288" w:lineRule="atLeast"/>
        <w:jc w:val="center"/>
        <w:textAlignment w:val="baseline"/>
        <w:outlineLvl w:val="0"/>
        <w:rPr>
          <w:b/>
          <w:i/>
          <w:kern w:val="36"/>
          <w:sz w:val="28"/>
          <w:szCs w:val="28"/>
        </w:rPr>
      </w:pPr>
      <w:r w:rsidRPr="00E44D51">
        <w:rPr>
          <w:b/>
          <w:i/>
          <w:kern w:val="36"/>
          <w:sz w:val="28"/>
          <w:szCs w:val="28"/>
        </w:rPr>
        <w:t xml:space="preserve">OVERTIME </w:t>
      </w:r>
      <w:r w:rsidR="00E44D51">
        <w:rPr>
          <w:b/>
          <w:i/>
          <w:kern w:val="36"/>
          <w:sz w:val="28"/>
          <w:szCs w:val="28"/>
        </w:rPr>
        <w:t>RULE</w:t>
      </w:r>
      <w:r w:rsidRPr="00E44D51">
        <w:rPr>
          <w:b/>
          <w:i/>
          <w:kern w:val="36"/>
          <w:sz w:val="28"/>
          <w:szCs w:val="28"/>
        </w:rPr>
        <w:t xml:space="preserve"> PROPOSAL</w:t>
      </w:r>
    </w:p>
    <w:p w:rsidR="0063157A" w:rsidP="0063157A">
      <w:pPr>
        <w:spacing w:line="288" w:lineRule="atLeast"/>
        <w:jc w:val="center"/>
        <w:textAlignment w:val="baseline"/>
        <w:outlineLvl w:val="0"/>
        <w:rPr>
          <w:b/>
          <w:kern w:val="36"/>
          <w:sz w:val="28"/>
          <w:szCs w:val="28"/>
        </w:rPr>
      </w:pPr>
    </w:p>
    <w:p w:rsidR="0063157A" w:rsidRPr="0063157A" w:rsidP="0063157A">
      <w:pPr>
        <w:spacing w:line="288" w:lineRule="atLeast"/>
        <w:jc w:val="center"/>
        <w:textAlignment w:val="baseline"/>
        <w:outlineLvl w:val="0"/>
        <w:rPr>
          <w:b/>
          <w:kern w:val="36"/>
          <w:sz w:val="28"/>
          <w:szCs w:val="28"/>
        </w:rPr>
      </w:pPr>
    </w:p>
    <w:p w:rsidR="0063157A" w:rsidP="0063157A">
      <w:pPr>
        <w:ind w:firstLine="720"/>
        <w:textAlignment w:val="baseline"/>
        <w:rPr>
          <w:rFonts w:eastAsia="Calibri"/>
          <w:bdr w:val="none" w:sz="0" w:space="0" w:color="auto" w:frame="1"/>
        </w:rPr>
      </w:pPr>
      <w:r w:rsidRPr="0063157A">
        <w:rPr>
          <w:rFonts w:eastAsia="Calibri"/>
          <w:bdr w:val="none" w:sz="0" w:space="0" w:color="auto" w:frame="1"/>
        </w:rPr>
        <w:t>On Thursday March 7th the U.S. Department of Labor announced a Notice of Proposed Rulemaking (NPRM) regarding a new overtime exemption rule. </w:t>
      </w:r>
      <w:r w:rsidR="00E44D51">
        <w:rPr>
          <w:rFonts w:eastAsia="Calibri"/>
          <w:bdr w:val="none" w:sz="0" w:space="0" w:color="auto" w:frame="1"/>
        </w:rPr>
        <w:t xml:space="preserve">This follows the failed rule change in 2016 where the overtime exemption salary threshold was going to more than double.  That rule was challenged in court where it was halted and later scrapped. </w:t>
      </w:r>
      <w:r w:rsidRPr="0063157A">
        <w:rPr>
          <w:rFonts w:eastAsia="Calibri"/>
          <w:bdr w:val="none" w:sz="0" w:space="0" w:color="auto" w:frame="1"/>
        </w:rPr>
        <w:t>Under current law, employees with a salary below $455 per week ($23,660 annually) must be paid overtime if they work more than 40 hours per week. This salary level was set in 2004.  </w:t>
      </w:r>
    </w:p>
    <w:p w:rsidR="0063157A" w:rsidRPr="0063157A" w:rsidP="0063157A">
      <w:pPr>
        <w:ind w:firstLine="720"/>
        <w:textAlignment w:val="baseline"/>
        <w:rPr>
          <w:rFonts w:eastAsia="Calibri"/>
        </w:rPr>
      </w:pPr>
    </w:p>
    <w:p w:rsidR="0063157A" w:rsidP="0063157A">
      <w:pPr>
        <w:ind w:firstLine="720"/>
        <w:textAlignment w:val="baseline"/>
        <w:rPr>
          <w:rFonts w:eastAsia="Calibri"/>
          <w:bdr w:val="none" w:sz="0" w:space="0" w:color="auto" w:frame="1"/>
        </w:rPr>
      </w:pPr>
      <w:r w:rsidRPr="0063157A">
        <w:rPr>
          <w:rFonts w:eastAsia="Calibri"/>
          <w:bdr w:val="none" w:sz="0" w:space="0" w:color="auto" w:frame="1"/>
        </w:rPr>
        <w:t>Th</w:t>
      </w:r>
      <w:r w:rsidR="00E44D51">
        <w:rPr>
          <w:rFonts w:eastAsia="Calibri"/>
          <w:bdr w:val="none" w:sz="0" w:space="0" w:color="auto" w:frame="1"/>
        </w:rPr>
        <w:t>e</w:t>
      </w:r>
      <w:r w:rsidRPr="0063157A">
        <w:rPr>
          <w:rFonts w:eastAsia="Calibri"/>
          <w:bdr w:val="none" w:sz="0" w:space="0" w:color="auto" w:frame="1"/>
        </w:rPr>
        <w:t xml:space="preserve"> new proposal would update the salary threshold using current wage data, projected to January 1, 2020. The result would boost the standard salary level from $455</w:t>
      </w:r>
      <w:r w:rsidR="00E44D51">
        <w:rPr>
          <w:rFonts w:eastAsia="Calibri"/>
          <w:bdr w:val="none" w:sz="0" w:space="0" w:color="auto" w:frame="1"/>
        </w:rPr>
        <w:t xml:space="preserve"> per week</w:t>
      </w:r>
      <w:r w:rsidRPr="0063157A">
        <w:rPr>
          <w:rFonts w:eastAsia="Calibri"/>
          <w:bdr w:val="none" w:sz="0" w:space="0" w:color="auto" w:frame="1"/>
        </w:rPr>
        <w:t xml:space="preserve"> to $679 per week (</w:t>
      </w:r>
      <w:r w:rsidR="00E44D51">
        <w:rPr>
          <w:rFonts w:eastAsia="Calibri"/>
          <w:bdr w:val="none" w:sz="0" w:space="0" w:color="auto" w:frame="1"/>
        </w:rPr>
        <w:t xml:space="preserve">which is </w:t>
      </w:r>
      <w:r w:rsidRPr="0063157A">
        <w:rPr>
          <w:rFonts w:eastAsia="Calibri"/>
          <w:bdr w:val="none" w:sz="0" w:space="0" w:color="auto" w:frame="1"/>
        </w:rPr>
        <w:t>equivalent to $35,308 per year).  </w:t>
      </w:r>
    </w:p>
    <w:p w:rsidR="0063157A" w:rsidRPr="0063157A" w:rsidP="0063157A">
      <w:pPr>
        <w:ind w:firstLine="720"/>
        <w:textAlignment w:val="baseline"/>
        <w:rPr>
          <w:rFonts w:eastAsia="Calibri"/>
        </w:rPr>
      </w:pPr>
    </w:p>
    <w:p w:rsidR="0063157A" w:rsidP="0063157A">
      <w:pPr>
        <w:ind w:firstLine="720"/>
        <w:textAlignment w:val="baseline"/>
        <w:rPr>
          <w:rFonts w:eastAsia="Calibri"/>
          <w:bdr w:val="none" w:sz="0" w:space="0" w:color="auto" w:frame="1"/>
        </w:rPr>
      </w:pPr>
      <w:r w:rsidRPr="0063157A">
        <w:rPr>
          <w:rFonts w:eastAsia="Calibri"/>
          <w:bdr w:val="none" w:sz="0" w:space="0" w:color="auto" w:frame="1"/>
        </w:rPr>
        <w:t>The Department of Labor is also asking for public comment on the NPRM’s language for periodic review to update the salary threshold. An update would continue to require notice-and-comment rulemaking. </w:t>
      </w:r>
    </w:p>
    <w:p w:rsidR="0063157A" w:rsidRPr="0063157A" w:rsidP="0063157A">
      <w:pPr>
        <w:ind w:firstLine="720"/>
        <w:textAlignment w:val="baseline"/>
        <w:rPr>
          <w:rFonts w:eastAsia="Calibri"/>
        </w:rPr>
      </w:pPr>
    </w:p>
    <w:p w:rsidR="0063157A" w:rsidP="0063157A">
      <w:pPr>
        <w:ind w:firstLine="720"/>
        <w:textAlignment w:val="baseline"/>
        <w:rPr>
          <w:rFonts w:eastAsia="Calibri"/>
          <w:bdr w:val="none" w:sz="0" w:space="0" w:color="auto" w:frame="1"/>
        </w:rPr>
      </w:pPr>
      <w:r w:rsidRPr="0063157A">
        <w:rPr>
          <w:rFonts w:eastAsia="Calibri"/>
          <w:bdr w:val="none" w:sz="0" w:space="0" w:color="auto" w:frame="1"/>
        </w:rPr>
        <w:t>In developing th</w:t>
      </w:r>
      <w:r w:rsidR="00E44D51">
        <w:rPr>
          <w:rFonts w:eastAsia="Calibri"/>
          <w:bdr w:val="none" w:sz="0" w:space="0" w:color="auto" w:frame="1"/>
        </w:rPr>
        <w:t>is recent rule</w:t>
      </w:r>
      <w:r w:rsidRPr="0063157A">
        <w:rPr>
          <w:rFonts w:eastAsia="Calibri"/>
          <w:bdr w:val="none" w:sz="0" w:space="0" w:color="auto" w:frame="1"/>
        </w:rPr>
        <w:t xml:space="preserve"> proposal, the Department of Labor received extensive public input from six in-person listening sessions held around the nation and more than 200,000 comments as part of a 2017 Request for Information</w:t>
      </w:r>
      <w:r w:rsidR="00E44D51">
        <w:rPr>
          <w:rFonts w:eastAsia="Calibri"/>
          <w:bdr w:val="none" w:sz="0" w:space="0" w:color="auto" w:frame="1"/>
        </w:rPr>
        <w:t xml:space="preserve"> and public listening sessions</w:t>
      </w:r>
      <w:r w:rsidRPr="0063157A">
        <w:rPr>
          <w:rFonts w:eastAsia="Calibri"/>
          <w:bdr w:val="none" w:sz="0" w:space="0" w:color="auto" w:frame="1"/>
        </w:rPr>
        <w:t>.</w:t>
      </w:r>
    </w:p>
    <w:p w:rsidR="0063157A" w:rsidRPr="0063157A" w:rsidP="0063157A">
      <w:pPr>
        <w:ind w:firstLine="720"/>
        <w:textAlignment w:val="baseline"/>
        <w:rPr>
          <w:rFonts w:eastAsia="Calibri"/>
        </w:rPr>
      </w:pPr>
    </w:p>
    <w:p w:rsidR="00E44D51" w:rsidRPr="00E44D51" w:rsidP="00147B99">
      <w:pPr>
        <w:jc w:val="center"/>
        <w:textAlignment w:val="baseline"/>
        <w:rPr>
          <w:rFonts w:eastAsia="Calibri"/>
          <w:b/>
          <w:u w:val="single"/>
        </w:rPr>
      </w:pPr>
      <w:r>
        <w:rPr>
          <w:rFonts w:eastAsia="Calibri"/>
          <w:b/>
          <w:u w:val="single"/>
        </w:rPr>
        <w:t>Key Provisions of the Proposed Rule</w:t>
      </w:r>
    </w:p>
    <w:p w:rsidR="00E44D51" w:rsidP="00E44D51">
      <w:pPr>
        <w:pStyle w:val="ListParagraph"/>
        <w:ind w:left="0"/>
        <w:textAlignment w:val="baseline"/>
      </w:pPr>
      <w:r>
        <w:tab/>
      </w:r>
    </w:p>
    <w:p w:rsidR="00E44D51" w:rsidP="00E44D51">
      <w:pPr>
        <w:pStyle w:val="ListParagraph"/>
        <w:ind w:left="0" w:firstLine="720"/>
        <w:textAlignment w:val="baseline"/>
      </w:pPr>
      <w:r>
        <w:t>The NPRM focuses primarily on updating the salary and compensation levels needed for these workers to be exempt.  Specifically, the Department proposes to:</w:t>
      </w:r>
    </w:p>
    <w:p w:rsidR="00E44D51" w:rsidP="00E44D51">
      <w:pPr>
        <w:pStyle w:val="ListParagraph"/>
        <w:ind w:left="1080"/>
        <w:textAlignment w:val="baseline"/>
      </w:pPr>
    </w:p>
    <w:p w:rsidR="00E44D51" w:rsidP="00E44D51">
      <w:pPr>
        <w:pStyle w:val="ListParagraph"/>
        <w:numPr>
          <w:ilvl w:val="0"/>
          <w:numId w:val="3"/>
        </w:numPr>
        <w:textAlignment w:val="baseline"/>
      </w:pPr>
      <w:r>
        <w:t>Increase the standard salary level to $679 per week (the equivalent of $35,308 annually for a full-year worker), up from the currently enforced level of $455 per week.</w:t>
      </w:r>
      <w:r w:rsidR="00DF6C9C">
        <w:t xml:space="preserve"> (Estimates are that as many as 4 million Americans could be eligible to receive overtime.)</w:t>
      </w:r>
    </w:p>
    <w:p w:rsidR="00E44D51" w:rsidP="00E44D51">
      <w:pPr>
        <w:pStyle w:val="ListParagraph"/>
        <w:ind w:left="1080"/>
        <w:textAlignment w:val="baseline"/>
      </w:pPr>
    </w:p>
    <w:p w:rsidR="0063157A" w:rsidRPr="00E44D51" w:rsidP="00E44D51">
      <w:pPr>
        <w:pStyle w:val="ListParagraph"/>
        <w:numPr>
          <w:ilvl w:val="0"/>
          <w:numId w:val="3"/>
        </w:numPr>
        <w:textAlignment w:val="baseline"/>
      </w:pPr>
      <w:r>
        <w:rPr>
          <w:bdr w:val="none" w:sz="0" w:space="0" w:color="auto" w:frame="1"/>
        </w:rPr>
        <w:t>T</w:t>
      </w:r>
      <w:r w:rsidRPr="00E44D51">
        <w:rPr>
          <w:bdr w:val="none" w:sz="0" w:space="0" w:color="auto" w:frame="1"/>
        </w:rPr>
        <w:t xml:space="preserve">he </w:t>
      </w:r>
      <w:r w:rsidRPr="00E44D51">
        <w:rPr>
          <w:bdr w:val="none" w:sz="0" w:space="0" w:color="auto" w:frame="1"/>
        </w:rPr>
        <w:t xml:space="preserve">new </w:t>
      </w:r>
      <w:r w:rsidRPr="00E44D51">
        <w:rPr>
          <w:bdr w:val="none" w:sz="0" w:space="0" w:color="auto" w:frame="1"/>
        </w:rPr>
        <w:t>proposal does not call for automatic adjustments to the salary threshold. </w:t>
      </w:r>
    </w:p>
    <w:p w:rsidR="00E44D51" w:rsidP="00E44D51">
      <w:pPr>
        <w:pStyle w:val="ListParagraph"/>
      </w:pPr>
    </w:p>
    <w:p w:rsidR="00E44D51" w:rsidP="00E44D51">
      <w:pPr>
        <w:pStyle w:val="ListParagraph"/>
        <w:numPr>
          <w:ilvl w:val="0"/>
          <w:numId w:val="3"/>
        </w:numPr>
        <w:textAlignment w:val="baseline"/>
      </w:pPr>
      <w:r>
        <w:t>Increase the total annual compensation requirement needed to exempt highly compensated employees (HCEs) to $147,414 annually, up from the currently enforced level of $100,000 annually.</w:t>
      </w:r>
    </w:p>
    <w:p w:rsidR="00E44D51" w:rsidP="00E44D51">
      <w:pPr>
        <w:pStyle w:val="ListParagraph"/>
      </w:pPr>
    </w:p>
    <w:p w:rsidR="00E44D51" w:rsidP="00E44D51">
      <w:pPr>
        <w:pStyle w:val="ListParagraph"/>
        <w:numPr>
          <w:ilvl w:val="0"/>
          <w:numId w:val="3"/>
        </w:numPr>
        <w:textAlignment w:val="baseline"/>
      </w:pPr>
      <w:r>
        <w:t>Allow employers to use nondiscretionary bonuses and incentive payments (including commissions) to satisfy up to 10 percent of the standard salary level, provided these payments are made on an annual or more frequent basis, while inviting comment on whether the proposed 10 percent cap is appropriate, or if a higher or lower cap is preferable.</w:t>
      </w:r>
    </w:p>
    <w:p w:rsidR="00DF6C9C" w:rsidP="00DF6C9C">
      <w:pPr>
        <w:ind w:firstLine="720"/>
        <w:textAlignment w:val="baseline"/>
      </w:pPr>
      <w:r w:rsidRPr="00DF6C9C">
        <w:t>If an employee does not earn enough in nondiscretionary bonus or incentive payments in a given year (52-week period) to retain his or her exempt status, the Department permits the employer to make a “catch-up” payment within one pay period of the end of the 52-week period.  This payment may be up to 10 percent of the total standard salary level for the preceding 52-week period.  Any such catch-up payment will count only toward the prior year’s salary amount and not toward the salary amount in the year in which it is paid.</w:t>
      </w:r>
    </w:p>
    <w:p w:rsidR="00DF6C9C" w:rsidP="00147B99">
      <w:pPr>
        <w:textAlignment w:val="baseline"/>
      </w:pPr>
    </w:p>
    <w:p w:rsidR="00147B99" w:rsidP="00DF6C9C">
      <w:pPr>
        <w:ind w:firstLine="720"/>
        <w:textAlignment w:val="baseline"/>
      </w:pPr>
      <w:r>
        <w:t>T</w:t>
      </w:r>
      <w:r>
        <w:t xml:space="preserve">he Department </w:t>
      </w:r>
      <w:r>
        <w:t xml:space="preserve">of Labor </w:t>
      </w:r>
      <w:r>
        <w:t>is asking for public comment on NPRM’s language for periodic review to update the salary threshold.  An update would continue to require notice-and comment rulemaking.</w:t>
      </w:r>
    </w:p>
    <w:p w:rsidR="00147B99" w:rsidP="00147B99">
      <w:pPr>
        <w:ind w:firstLine="720"/>
        <w:textAlignment w:val="baseline"/>
      </w:pPr>
    </w:p>
    <w:p w:rsidR="00E44D51" w:rsidP="00147B99">
      <w:pPr>
        <w:ind w:firstLine="720"/>
        <w:textAlignment w:val="baseline"/>
      </w:pPr>
      <w:r>
        <w:t>The proposed salary threshold accounts for wage growth since the 2004 rulemaker, projected forward to January 1, 2020, the approximate date a final rule is anticipated to be effective.  The Department proposes to update the standard salary level set in 2004 by applying the same method used to set that level in 2004 to current data – i.e., by looking at the 20</w:t>
      </w:r>
      <w:r w:rsidRPr="00147B99">
        <w:rPr>
          <w:vertAlign w:val="superscript"/>
        </w:rPr>
        <w:t>th</w:t>
      </w:r>
      <w:r>
        <w:t xml:space="preserve"> percentile of earnings of full-time salaried workers in the lowest-wage census region (then and now the South), and/or in the retail sector nationwide.</w:t>
      </w:r>
    </w:p>
    <w:p w:rsidR="00147B99" w:rsidP="00147B99">
      <w:pPr>
        <w:ind w:firstLine="720"/>
        <w:textAlignment w:val="baseline"/>
      </w:pPr>
    </w:p>
    <w:p w:rsidR="00147B99" w:rsidRPr="00E44D51" w:rsidP="00147B99">
      <w:pPr>
        <w:ind w:firstLine="720"/>
        <w:textAlignment w:val="baseline"/>
        <w:rPr>
          <w:rFonts w:eastAsia="Calibri"/>
        </w:rPr>
      </w:pPr>
      <w:r>
        <w:t>This proposed regulation has been submitted to the Office of the Federal Register (OFR) for publication, and is currently pending placement on public inspection at the OFR and publication in the Federal Register.  This version of the proposed regulations may vary slightly from the published document if minor technical or formatting changes are made during the OFR review process.  Only the version published in the Federal Register is the official proposed regulation.  The public will have 60 days to comment on the proposed regulation; the comment period will begin on the date of publication in the Federal Register.</w:t>
      </w:r>
    </w:p>
    <w:p w:rsidR="0063157A" w:rsidP="0063157A">
      <w:pPr>
        <w:ind w:firstLine="720"/>
        <w:textAlignment w:val="baseline"/>
        <w:rPr>
          <w:rFonts w:eastAsia="Calibri"/>
        </w:rPr>
      </w:pPr>
    </w:p>
    <w:p w:rsidR="0063157A" w:rsidRPr="0063157A" w:rsidP="0063157A">
      <w:pPr>
        <w:ind w:right="-180" w:firstLine="720"/>
        <w:textAlignment w:val="baseline"/>
        <w:rPr>
          <w:rFonts w:eastAsia="Calibri"/>
        </w:rPr>
      </w:pPr>
      <w:r w:rsidRPr="0063157A">
        <w:rPr>
          <w:rFonts w:eastAsia="Calibri"/>
          <w:bdr w:val="none" w:sz="0" w:space="0" w:color="auto" w:frame="1"/>
        </w:rPr>
        <w:t>More information about the proposed rule is available at</w:t>
      </w:r>
      <w:r>
        <w:rPr>
          <w:rFonts w:eastAsia="Calibri"/>
          <w:bdr w:val="none" w:sz="0" w:space="0" w:color="auto" w:frame="1"/>
        </w:rPr>
        <w:t xml:space="preserve"> </w:t>
      </w:r>
      <w:r w:rsidRPr="0063157A">
        <w:rPr>
          <w:rFonts w:eastAsia="Calibri"/>
          <w:color w:val="0000FF"/>
          <w:u w:val="single"/>
          <w:bdr w:val="none" w:sz="0" w:space="0" w:color="auto" w:frame="1"/>
        </w:rPr>
        <w:t>www.dol.gov/whd/overtime2019</w:t>
      </w:r>
      <w:r w:rsidRPr="0063157A">
        <w:rPr>
          <w:rFonts w:eastAsia="Calibri"/>
          <w:bdr w:val="none" w:sz="0" w:space="0" w:color="auto" w:frame="1"/>
        </w:rPr>
        <w:t>. The Department encourages any interested members of the public to submit comments about the proposed rule electronically at </w:t>
      </w:r>
      <w:r w:rsidRPr="0063157A">
        <w:rPr>
          <w:rFonts w:eastAsia="Calibri"/>
          <w:color w:val="0000FF"/>
          <w:u w:val="single"/>
          <w:bdr w:val="none" w:sz="0" w:space="0" w:color="auto" w:frame="1"/>
        </w:rPr>
        <w:t>www.regulations.gov</w:t>
      </w:r>
      <w:r w:rsidRPr="0063157A">
        <w:rPr>
          <w:rFonts w:eastAsia="Calibri"/>
          <w:bdr w:val="none" w:sz="0" w:space="0" w:color="auto" w:frame="1"/>
        </w:rPr>
        <w:t>, in the rulemaking docket RIN 1235-AA20.</w:t>
      </w:r>
    </w:p>
    <w:p w:rsidR="00104468" w:rsidP="000A560F">
      <w:pPr>
        <w:rPr>
          <w:rFonts w:eastAsiaTheme="minorHAnsi"/>
          <w:bCs/>
        </w:rPr>
      </w:pPr>
    </w:p>
    <w:p w:rsidR="00DF6C9C" w:rsidRPr="00DF6C9C" w:rsidP="000A560F">
      <w:pPr>
        <w:rPr>
          <w:rFonts w:eastAsiaTheme="minorHAnsi"/>
          <w:bCs/>
        </w:rPr>
      </w:pPr>
      <w:r>
        <w:rPr>
          <w:rFonts w:eastAsiaTheme="minorHAnsi"/>
          <w:bCs/>
        </w:rPr>
        <w:tab/>
      </w:r>
      <w:r>
        <w:rPr>
          <w:rFonts w:eastAsiaTheme="minorHAnsi"/>
          <w:bCs/>
          <w:u w:val="single"/>
        </w:rPr>
        <w:t>Note</w:t>
      </w:r>
      <w:r>
        <w:rPr>
          <w:rFonts w:eastAsiaTheme="minorHAnsi"/>
          <w:bCs/>
        </w:rPr>
        <w:t xml:space="preserve">:  Employers should always check and make sure they are in compliance with current laws (especially the salary pay basis and the duties tests).  However, employers </w:t>
      </w:r>
      <w:r>
        <w:rPr>
          <w:rFonts w:eastAsiaTheme="minorHAnsi"/>
          <w:bCs/>
          <w:u w:val="single"/>
        </w:rPr>
        <w:t>should not</w:t>
      </w:r>
      <w:r>
        <w:rPr>
          <w:rFonts w:eastAsiaTheme="minorHAnsi"/>
          <w:bCs/>
        </w:rPr>
        <w:t xml:space="preserve"> yet make changes based on this proposed rule change.  This is just the first step in a lengthy rulemaking process and more changes are possible before this rule is finalized and adopted.  In the meantime, this notice is helpful for forecasting and budgeting purposes.</w:t>
      </w:r>
    </w:p>
    <w:p w:rsidR="00DF6C9C" w:rsidRPr="000A560F" w:rsidP="000A560F">
      <w:pPr>
        <w:rPr>
          <w:rFonts w:eastAsiaTheme="minorHAnsi"/>
          <w:bCs/>
        </w:rPr>
      </w:pPr>
    </w:p>
    <w:p w:rsidR="000A560F" w:rsidP="00F55DC4">
      <w:pPr>
        <w:rPr>
          <w:rFonts w:eastAsiaTheme="minorHAnsi"/>
          <w:b/>
          <w:bCs/>
          <w:sz w:val="20"/>
          <w:szCs w:val="20"/>
        </w:rPr>
      </w:pPr>
      <w:r>
        <w:rPr>
          <w:rFonts w:eastAsiaTheme="minorHAnsi"/>
          <w:b/>
          <w:bCs/>
          <w:sz w:val="20"/>
          <w:szCs w:val="20"/>
        </w:rPr>
        <w:t>____________________________________________________________________________________________</w:t>
      </w:r>
    </w:p>
    <w:p w:rsidR="00443BD6" w:rsidP="00F55DC4">
      <w:pPr>
        <w:rPr>
          <w:rFonts w:eastAsiaTheme="minorHAnsi"/>
          <w:b/>
          <w:bCs/>
          <w:sz w:val="20"/>
          <w:szCs w:val="20"/>
        </w:rPr>
      </w:pPr>
    </w:p>
    <w:p w:rsidR="00443BD6" w:rsidP="00F55DC4">
      <w:pPr>
        <w:rPr>
          <w:rFonts w:eastAsiaTheme="minorHAnsi"/>
          <w:b/>
          <w:bCs/>
          <w:sz w:val="20"/>
          <w:szCs w:val="20"/>
        </w:rPr>
      </w:pPr>
    </w:p>
    <w:p w:rsidR="00F55DC4" w:rsidRPr="00F55DC4" w:rsidP="00F55DC4">
      <w:pPr>
        <w:rPr>
          <w:rFonts w:eastAsiaTheme="minorHAnsi"/>
          <w:b/>
          <w:bCs/>
          <w:sz w:val="20"/>
          <w:szCs w:val="20"/>
        </w:rPr>
      </w:pPr>
      <w:r>
        <w:rPr>
          <w:rFonts w:eastAsiaTheme="minorHAnsi"/>
          <w:b/>
          <w:bCs/>
          <w:sz w:val="20"/>
          <w:szCs w:val="20"/>
        </w:rPr>
        <w:t>Attorney Jim Reidy is MAHRA’s VP of Legal and Legislative Affairs.  He is also a partner at Sheehan Phinney where he is the Chair of the Firm’s Labor and Employment practice group.</w:t>
      </w:r>
    </w:p>
    <w:p w:rsidR="00A568E5" w:rsidRPr="00F55DC4" w:rsidP="00781444">
      <w:pPr>
        <w:rPr>
          <w:b/>
          <w:bCs/>
          <w:iCs/>
          <w:sz w:val="22"/>
          <w:szCs w:val="22"/>
        </w:rPr>
      </w:pPr>
    </w:p>
    <w:p w:rsidR="007B4B62" w:rsidP="007B4B62">
      <w:pPr>
        <w:jc w:val="center"/>
        <w:rPr>
          <w:b/>
          <w:bCs/>
          <w:i/>
          <w:iCs/>
          <w:sz w:val="22"/>
          <w:szCs w:val="22"/>
          <w:u w:val="single"/>
        </w:rPr>
      </w:pPr>
      <w:r w:rsidRPr="00026C8A">
        <w:rPr>
          <w:b/>
          <w:bCs/>
          <w:i/>
          <w:iCs/>
          <w:sz w:val="22"/>
          <w:szCs w:val="22"/>
          <w:u w:val="single"/>
        </w:rPr>
        <w:t>Disclaimer</w:t>
      </w:r>
    </w:p>
    <w:p w:rsidR="002B0B3E" w:rsidRPr="00026C8A" w:rsidP="007B4B62">
      <w:pPr>
        <w:jc w:val="center"/>
        <w:rPr>
          <w:b/>
          <w:bCs/>
          <w:i/>
          <w:iCs/>
          <w:sz w:val="22"/>
          <w:szCs w:val="22"/>
          <w:u w:val="single"/>
        </w:rPr>
      </w:pPr>
    </w:p>
    <w:p w:rsidR="00781444" w:rsidRPr="00026C8A" w:rsidP="00903DA9">
      <w:pPr>
        <w:rPr>
          <w:b/>
          <w:bCs/>
          <w:i/>
          <w:iCs/>
          <w:sz w:val="22"/>
          <w:szCs w:val="22"/>
          <w:u w:val="single"/>
        </w:rPr>
      </w:pPr>
      <w:r w:rsidRPr="00026C8A">
        <w:rPr>
          <w:b/>
          <w:bCs/>
          <w:i/>
          <w:iCs/>
          <w:sz w:val="22"/>
          <w:szCs w:val="22"/>
          <w:u w:val="single"/>
        </w:rPr>
        <w:t>Please note</w:t>
      </w:r>
      <w:r w:rsidRPr="00026C8A">
        <w:rPr>
          <w:b/>
          <w:bCs/>
          <w:i/>
          <w:iCs/>
          <w:sz w:val="22"/>
          <w:szCs w:val="22"/>
        </w:rPr>
        <w:t xml:space="preserve">: This outline is intended as general guidance and not specific legal advice. Your legal counsel should be consulted with specific questions or for advice on how to proceed with these matters.  </w:t>
      </w:r>
    </w:p>
    <w:sectPr w:rsidSect="002B0B3E">
      <w:footerReference w:type="default" r:id="rId6"/>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002">
    <w:pPr>
      <w:pStyle w:val="Footer"/>
      <w:jc w:val="center"/>
    </w:pPr>
    <w:r>
      <w:fldChar w:fldCharType="begin"/>
    </w:r>
    <w:r>
      <w:instrText xml:space="preserve"> PAGE   \* MERGEFORMAT </w:instrText>
    </w:r>
    <w:r>
      <w:fldChar w:fldCharType="separate"/>
    </w:r>
    <w:r w:rsidR="00D87B2C">
      <w:rPr>
        <w:noProof/>
      </w:rPr>
      <w:t>3</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350AA"/>
    <w:multiLevelType w:val="hybridMultilevel"/>
    <w:tmpl w:val="B0565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D7332F"/>
    <w:multiLevelType w:val="hybridMultilevel"/>
    <w:tmpl w:val="EFFAD5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7053E0D"/>
    <w:multiLevelType w:val="multilevel"/>
    <w:tmpl w:val="74A8B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28"/>
    <w:rsid w:val="00024FAC"/>
    <w:rsid w:val="00026C8A"/>
    <w:rsid w:val="0003054F"/>
    <w:rsid w:val="000606C8"/>
    <w:rsid w:val="00073800"/>
    <w:rsid w:val="00074CF1"/>
    <w:rsid w:val="00090300"/>
    <w:rsid w:val="00094D18"/>
    <w:rsid w:val="000A2649"/>
    <w:rsid w:val="000A3A84"/>
    <w:rsid w:val="000A560F"/>
    <w:rsid w:val="000A5BCC"/>
    <w:rsid w:val="000C114E"/>
    <w:rsid w:val="000C3774"/>
    <w:rsid w:val="000E0686"/>
    <w:rsid w:val="000E1F45"/>
    <w:rsid w:val="000E3ED4"/>
    <w:rsid w:val="000F4E46"/>
    <w:rsid w:val="0010183C"/>
    <w:rsid w:val="00104468"/>
    <w:rsid w:val="00105DE2"/>
    <w:rsid w:val="00111471"/>
    <w:rsid w:val="001125C2"/>
    <w:rsid w:val="0012174D"/>
    <w:rsid w:val="00125E31"/>
    <w:rsid w:val="0012731F"/>
    <w:rsid w:val="001315F6"/>
    <w:rsid w:val="00140703"/>
    <w:rsid w:val="00147B99"/>
    <w:rsid w:val="00160AE3"/>
    <w:rsid w:val="001700B7"/>
    <w:rsid w:val="0017241F"/>
    <w:rsid w:val="00177203"/>
    <w:rsid w:val="00183F69"/>
    <w:rsid w:val="00185051"/>
    <w:rsid w:val="001958EE"/>
    <w:rsid w:val="001B3AA0"/>
    <w:rsid w:val="001C030C"/>
    <w:rsid w:val="001C6FAE"/>
    <w:rsid w:val="001D5952"/>
    <w:rsid w:val="001E62B7"/>
    <w:rsid w:val="001F3A72"/>
    <w:rsid w:val="00215020"/>
    <w:rsid w:val="0022219D"/>
    <w:rsid w:val="00222CF3"/>
    <w:rsid w:val="00223475"/>
    <w:rsid w:val="00240FF8"/>
    <w:rsid w:val="00242CC2"/>
    <w:rsid w:val="0024601D"/>
    <w:rsid w:val="002529D2"/>
    <w:rsid w:val="00253B43"/>
    <w:rsid w:val="002548B8"/>
    <w:rsid w:val="00264BA5"/>
    <w:rsid w:val="0027359A"/>
    <w:rsid w:val="0027406D"/>
    <w:rsid w:val="0027500F"/>
    <w:rsid w:val="002917DD"/>
    <w:rsid w:val="00297620"/>
    <w:rsid w:val="002A6F9D"/>
    <w:rsid w:val="002B0B3E"/>
    <w:rsid w:val="002C0FDE"/>
    <w:rsid w:val="002C47A3"/>
    <w:rsid w:val="002C5778"/>
    <w:rsid w:val="002D0DE8"/>
    <w:rsid w:val="002D20B2"/>
    <w:rsid w:val="002D68B8"/>
    <w:rsid w:val="002E1033"/>
    <w:rsid w:val="002E3081"/>
    <w:rsid w:val="002E426C"/>
    <w:rsid w:val="002E4872"/>
    <w:rsid w:val="002F712E"/>
    <w:rsid w:val="003037E4"/>
    <w:rsid w:val="00306985"/>
    <w:rsid w:val="00320175"/>
    <w:rsid w:val="0033045B"/>
    <w:rsid w:val="00344DA1"/>
    <w:rsid w:val="00350979"/>
    <w:rsid w:val="0036022D"/>
    <w:rsid w:val="00366007"/>
    <w:rsid w:val="00391245"/>
    <w:rsid w:val="003B1CC7"/>
    <w:rsid w:val="003C4CCC"/>
    <w:rsid w:val="003D073C"/>
    <w:rsid w:val="003D0F30"/>
    <w:rsid w:val="003D4DD4"/>
    <w:rsid w:val="003F410A"/>
    <w:rsid w:val="003F6714"/>
    <w:rsid w:val="003F77DA"/>
    <w:rsid w:val="00406E0B"/>
    <w:rsid w:val="00410D04"/>
    <w:rsid w:val="00415744"/>
    <w:rsid w:val="00415914"/>
    <w:rsid w:val="004337C3"/>
    <w:rsid w:val="00433FA6"/>
    <w:rsid w:val="00443BD6"/>
    <w:rsid w:val="00455DC5"/>
    <w:rsid w:val="004562DD"/>
    <w:rsid w:val="004744DB"/>
    <w:rsid w:val="00495B60"/>
    <w:rsid w:val="004D714F"/>
    <w:rsid w:val="004E1D0C"/>
    <w:rsid w:val="004E4FCC"/>
    <w:rsid w:val="004E5E96"/>
    <w:rsid w:val="004E6434"/>
    <w:rsid w:val="004F6340"/>
    <w:rsid w:val="005200BA"/>
    <w:rsid w:val="005463F8"/>
    <w:rsid w:val="00551526"/>
    <w:rsid w:val="00554539"/>
    <w:rsid w:val="00565334"/>
    <w:rsid w:val="005764BA"/>
    <w:rsid w:val="00584B25"/>
    <w:rsid w:val="005A260E"/>
    <w:rsid w:val="005A4B0E"/>
    <w:rsid w:val="005B14F4"/>
    <w:rsid w:val="005B191B"/>
    <w:rsid w:val="005C0187"/>
    <w:rsid w:val="005C02B2"/>
    <w:rsid w:val="005C2658"/>
    <w:rsid w:val="005F5ACA"/>
    <w:rsid w:val="00605317"/>
    <w:rsid w:val="00610928"/>
    <w:rsid w:val="00625153"/>
    <w:rsid w:val="00627DF2"/>
    <w:rsid w:val="0063157A"/>
    <w:rsid w:val="00634D86"/>
    <w:rsid w:val="0063776F"/>
    <w:rsid w:val="0064600C"/>
    <w:rsid w:val="00657EA7"/>
    <w:rsid w:val="00674B3C"/>
    <w:rsid w:val="0068036E"/>
    <w:rsid w:val="0068108F"/>
    <w:rsid w:val="00692177"/>
    <w:rsid w:val="00693598"/>
    <w:rsid w:val="00693988"/>
    <w:rsid w:val="006B1156"/>
    <w:rsid w:val="006B4390"/>
    <w:rsid w:val="006C3CC5"/>
    <w:rsid w:val="006D3132"/>
    <w:rsid w:val="006E5663"/>
    <w:rsid w:val="00703ECF"/>
    <w:rsid w:val="00711E42"/>
    <w:rsid w:val="00717599"/>
    <w:rsid w:val="00717991"/>
    <w:rsid w:val="00731398"/>
    <w:rsid w:val="00733AC7"/>
    <w:rsid w:val="00734A73"/>
    <w:rsid w:val="00754619"/>
    <w:rsid w:val="007570CA"/>
    <w:rsid w:val="00760776"/>
    <w:rsid w:val="0076256B"/>
    <w:rsid w:val="00781444"/>
    <w:rsid w:val="007A3B4E"/>
    <w:rsid w:val="007B2B42"/>
    <w:rsid w:val="007B4B62"/>
    <w:rsid w:val="007C651B"/>
    <w:rsid w:val="007D38C1"/>
    <w:rsid w:val="007D456F"/>
    <w:rsid w:val="007F2D9D"/>
    <w:rsid w:val="0081449F"/>
    <w:rsid w:val="008146B4"/>
    <w:rsid w:val="00817E87"/>
    <w:rsid w:val="008376E4"/>
    <w:rsid w:val="00843BC4"/>
    <w:rsid w:val="0085120E"/>
    <w:rsid w:val="0085185A"/>
    <w:rsid w:val="00853762"/>
    <w:rsid w:val="00853A1C"/>
    <w:rsid w:val="00854E67"/>
    <w:rsid w:val="00861D54"/>
    <w:rsid w:val="00864C8A"/>
    <w:rsid w:val="00871987"/>
    <w:rsid w:val="00874A54"/>
    <w:rsid w:val="00892BDC"/>
    <w:rsid w:val="008A333F"/>
    <w:rsid w:val="008A3CF7"/>
    <w:rsid w:val="008A5E26"/>
    <w:rsid w:val="008C5B67"/>
    <w:rsid w:val="008E1BCC"/>
    <w:rsid w:val="008E526B"/>
    <w:rsid w:val="00903DA9"/>
    <w:rsid w:val="00922BEE"/>
    <w:rsid w:val="00924587"/>
    <w:rsid w:val="00925F31"/>
    <w:rsid w:val="009424E3"/>
    <w:rsid w:val="00960F18"/>
    <w:rsid w:val="009662B8"/>
    <w:rsid w:val="00974607"/>
    <w:rsid w:val="009776DE"/>
    <w:rsid w:val="00983C40"/>
    <w:rsid w:val="00996947"/>
    <w:rsid w:val="009A1B43"/>
    <w:rsid w:val="009A5401"/>
    <w:rsid w:val="009B7CCE"/>
    <w:rsid w:val="009D1BE1"/>
    <w:rsid w:val="009D4F60"/>
    <w:rsid w:val="009D6176"/>
    <w:rsid w:val="009E258F"/>
    <w:rsid w:val="009F0BCA"/>
    <w:rsid w:val="00A01A29"/>
    <w:rsid w:val="00A031C1"/>
    <w:rsid w:val="00A127EB"/>
    <w:rsid w:val="00A16E23"/>
    <w:rsid w:val="00A23C3D"/>
    <w:rsid w:val="00A25F70"/>
    <w:rsid w:val="00A31B93"/>
    <w:rsid w:val="00A366E0"/>
    <w:rsid w:val="00A50CE2"/>
    <w:rsid w:val="00A55E59"/>
    <w:rsid w:val="00A568E5"/>
    <w:rsid w:val="00A620D5"/>
    <w:rsid w:val="00A62C7D"/>
    <w:rsid w:val="00A67669"/>
    <w:rsid w:val="00A67D13"/>
    <w:rsid w:val="00A72AA1"/>
    <w:rsid w:val="00A7733A"/>
    <w:rsid w:val="00A8401C"/>
    <w:rsid w:val="00A86C38"/>
    <w:rsid w:val="00A90FEF"/>
    <w:rsid w:val="00AA486A"/>
    <w:rsid w:val="00AC36C0"/>
    <w:rsid w:val="00AC614B"/>
    <w:rsid w:val="00AD2901"/>
    <w:rsid w:val="00AD5704"/>
    <w:rsid w:val="00AE4148"/>
    <w:rsid w:val="00AF5D78"/>
    <w:rsid w:val="00B04B99"/>
    <w:rsid w:val="00B061FC"/>
    <w:rsid w:val="00B10E29"/>
    <w:rsid w:val="00B17EFD"/>
    <w:rsid w:val="00B212F9"/>
    <w:rsid w:val="00B262DE"/>
    <w:rsid w:val="00B405C1"/>
    <w:rsid w:val="00B4597C"/>
    <w:rsid w:val="00B512AC"/>
    <w:rsid w:val="00B6126F"/>
    <w:rsid w:val="00B618EB"/>
    <w:rsid w:val="00B70098"/>
    <w:rsid w:val="00B74753"/>
    <w:rsid w:val="00B8053D"/>
    <w:rsid w:val="00B83153"/>
    <w:rsid w:val="00B85739"/>
    <w:rsid w:val="00B8671C"/>
    <w:rsid w:val="00B90002"/>
    <w:rsid w:val="00B936DF"/>
    <w:rsid w:val="00B94B06"/>
    <w:rsid w:val="00B96977"/>
    <w:rsid w:val="00BB3E50"/>
    <w:rsid w:val="00BB4006"/>
    <w:rsid w:val="00BC7AEE"/>
    <w:rsid w:val="00BD09D1"/>
    <w:rsid w:val="00BD7F24"/>
    <w:rsid w:val="00BE1CE9"/>
    <w:rsid w:val="00BE53BB"/>
    <w:rsid w:val="00BF0A1C"/>
    <w:rsid w:val="00BF493F"/>
    <w:rsid w:val="00C02B4F"/>
    <w:rsid w:val="00C17CF0"/>
    <w:rsid w:val="00C23058"/>
    <w:rsid w:val="00C2432F"/>
    <w:rsid w:val="00C276C9"/>
    <w:rsid w:val="00C351C4"/>
    <w:rsid w:val="00C40010"/>
    <w:rsid w:val="00C435D0"/>
    <w:rsid w:val="00C44389"/>
    <w:rsid w:val="00C46502"/>
    <w:rsid w:val="00C61630"/>
    <w:rsid w:val="00C66B36"/>
    <w:rsid w:val="00C8530D"/>
    <w:rsid w:val="00CB1228"/>
    <w:rsid w:val="00CC2B2B"/>
    <w:rsid w:val="00CD540C"/>
    <w:rsid w:val="00CF2FEE"/>
    <w:rsid w:val="00CF7911"/>
    <w:rsid w:val="00D25942"/>
    <w:rsid w:val="00D37C1D"/>
    <w:rsid w:val="00D40625"/>
    <w:rsid w:val="00D4788E"/>
    <w:rsid w:val="00D55E5F"/>
    <w:rsid w:val="00D6368F"/>
    <w:rsid w:val="00D66F3D"/>
    <w:rsid w:val="00D81263"/>
    <w:rsid w:val="00D8573E"/>
    <w:rsid w:val="00D87B2C"/>
    <w:rsid w:val="00D87BE2"/>
    <w:rsid w:val="00D950E3"/>
    <w:rsid w:val="00DB30F3"/>
    <w:rsid w:val="00DD1DF0"/>
    <w:rsid w:val="00DE14A1"/>
    <w:rsid w:val="00DE54A5"/>
    <w:rsid w:val="00DF6C9C"/>
    <w:rsid w:val="00E150BE"/>
    <w:rsid w:val="00E26A07"/>
    <w:rsid w:val="00E32BC3"/>
    <w:rsid w:val="00E44D51"/>
    <w:rsid w:val="00E5184F"/>
    <w:rsid w:val="00E5466E"/>
    <w:rsid w:val="00E60683"/>
    <w:rsid w:val="00E723F7"/>
    <w:rsid w:val="00E85539"/>
    <w:rsid w:val="00E87322"/>
    <w:rsid w:val="00E92089"/>
    <w:rsid w:val="00E96651"/>
    <w:rsid w:val="00EC20BA"/>
    <w:rsid w:val="00EE60B8"/>
    <w:rsid w:val="00EF1DB5"/>
    <w:rsid w:val="00EF212B"/>
    <w:rsid w:val="00EF27CB"/>
    <w:rsid w:val="00F00CC7"/>
    <w:rsid w:val="00F1036F"/>
    <w:rsid w:val="00F14BC4"/>
    <w:rsid w:val="00F20F54"/>
    <w:rsid w:val="00F27FC1"/>
    <w:rsid w:val="00F33542"/>
    <w:rsid w:val="00F415F3"/>
    <w:rsid w:val="00F41A1E"/>
    <w:rsid w:val="00F54ABE"/>
    <w:rsid w:val="00F55DC4"/>
    <w:rsid w:val="00F62E89"/>
    <w:rsid w:val="00F7502A"/>
    <w:rsid w:val="00F8199E"/>
    <w:rsid w:val="00F87C7E"/>
    <w:rsid w:val="00F97656"/>
    <w:rsid w:val="00FB5674"/>
    <w:rsid w:val="00FC5275"/>
    <w:rsid w:val="00FD485C"/>
    <w:rsid w:val="00FD7D2C"/>
    <w:rsid w:val="00FF2C8C"/>
    <w:rsid w:val="00FF5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before="100" w:after="100"/>
      <w:jc w:val="center"/>
      <w:outlineLvl w:val="0"/>
    </w:pPr>
    <w:rPr>
      <w:rFonts w:ascii="Arial" w:hAnsi="Arial" w:cs="Arial"/>
      <w:b/>
      <w:bCs/>
      <w:i/>
      <w:iCs/>
      <w:sz w:val="20"/>
    </w:rPr>
  </w:style>
  <w:style w:type="paragraph" w:styleId="Heading2">
    <w:name w:val="heading 2"/>
    <w:basedOn w:val="Normal"/>
    <w:next w:val="Normal"/>
    <w:qFormat/>
    <w:pPr>
      <w:keepNext/>
      <w:autoSpaceDE w:val="0"/>
      <w:autoSpaceDN w:val="0"/>
      <w:adjustRightInd w:val="0"/>
      <w:spacing w:before="100" w:after="100"/>
      <w:outlineLvl w:val="1"/>
    </w:pPr>
    <w:rPr>
      <w:rFonts w:ascii="Arial" w:hAnsi="Arial" w:cs="Arial"/>
      <w:b/>
      <w:bCs/>
      <w:sz w:val="20"/>
    </w:rPr>
  </w:style>
  <w:style w:type="paragraph" w:styleId="Heading3">
    <w:name w:val="heading 3"/>
    <w:basedOn w:val="Normal"/>
    <w:next w:val="Normal"/>
    <w:qFormat/>
    <w:pPr>
      <w:keepNext/>
      <w:outlineLvl w:val="2"/>
    </w:pPr>
    <w:rPr>
      <w:b/>
      <w:bCs/>
      <w:color w:val="333333"/>
      <w:szCs w:val="17"/>
      <w:u w:val="single"/>
    </w:rPr>
  </w:style>
  <w:style w:type="paragraph" w:styleId="Heading4">
    <w:name w:val="heading 4"/>
    <w:basedOn w:val="Normal"/>
    <w:next w:val="Normal"/>
    <w:qFormat/>
    <w:pPr>
      <w:keepNext/>
      <w:outlineLvl w:val="3"/>
    </w:pPr>
    <w:rPr>
      <w:b/>
      <w:bCs/>
      <w:color w:val="333333"/>
      <w:sz w:val="28"/>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overflowPunct w:val="0"/>
      <w:autoSpaceDE w:val="0"/>
      <w:autoSpaceDN w:val="0"/>
      <w:adjustRightInd w:val="0"/>
      <w:jc w:val="center"/>
      <w:textAlignment w:val="baseline"/>
    </w:pPr>
    <w:rPr>
      <w:rFonts w:ascii="Lucida Sans" w:hAnsi="Lucida Sans"/>
      <w:smallCaps/>
      <w:outline/>
      <w:color w:val="000000"/>
      <w:sz w:val="44"/>
      <w:szCs w:val="20"/>
      <w14:textOutline w14:w="9525">
        <w14:solidFill>
          <w14:srgbClr w14:val="000000"/>
        </w14:solidFill>
        <w14:round/>
      </w14:textOutline>
      <w14:textFill>
        <w14:noFill/>
      </w14:textFill>
    </w:rPr>
  </w:style>
  <w:style w:type="paragraph" w:styleId="BodyText">
    <w:name w:val="Body Text"/>
    <w:basedOn w:val="Normal"/>
    <w:semiHidden/>
    <w:pPr>
      <w:autoSpaceDE w:val="0"/>
      <w:autoSpaceDN w:val="0"/>
      <w:adjustRightInd w:val="0"/>
      <w:spacing w:before="100" w:after="100"/>
    </w:pPr>
    <w:rPr>
      <w:rFonts w:ascii="Arial" w:hAnsi="Arial" w:cs="Arial"/>
      <w:sz w:val="20"/>
    </w:rPr>
  </w:style>
  <w:style w:type="paragraph" w:styleId="Subtitle">
    <w:name w:val="Subtitle"/>
    <w:basedOn w:val="Normal"/>
    <w:qFormat/>
    <w:pPr>
      <w:overflowPunct w:val="0"/>
      <w:autoSpaceDE w:val="0"/>
      <w:autoSpaceDN w:val="0"/>
      <w:adjustRightInd w:val="0"/>
      <w:jc w:val="center"/>
      <w:textAlignment w:val="baseline"/>
    </w:pPr>
    <w:rPr>
      <w:b/>
      <w:caps/>
      <w:szCs w:val="20"/>
    </w:rPr>
  </w:style>
  <w:style w:type="paragraph" w:styleId="BodyText2">
    <w:name w:val="Body Text 2"/>
    <w:basedOn w:val="Normal"/>
    <w:semiHidden/>
    <w:pPr>
      <w:jc w:val="center"/>
    </w:pPr>
    <w:rPr>
      <w:rFonts w:ascii="Arial" w:hAnsi="Arial" w:cs="Arial"/>
      <w:b/>
      <w:bCs/>
      <w:i/>
      <w:iCs/>
      <w:sz w:val="28"/>
    </w:rPr>
  </w:style>
  <w:style w:type="paragraph" w:styleId="Footer">
    <w:name w:val="footer"/>
    <w:basedOn w:val="Normal"/>
    <w:link w:val="FooterChar"/>
    <w:uiPriority w:val="99"/>
    <w:pPr>
      <w:tabs>
        <w:tab w:val="center" w:pos="4320"/>
        <w:tab w:val="right" w:pos="8640"/>
      </w:tabs>
    </w:pPr>
  </w:style>
  <w:style w:type="paragraph" w:customStyle="1" w:styleId="style4">
    <w:name w:val="style4"/>
    <w:basedOn w:val="Normal"/>
    <w:pPr>
      <w:spacing w:before="100" w:beforeAutospacing="1" w:after="100" w:afterAutospacing="1"/>
    </w:pPr>
    <w:rPr>
      <w:rFonts w:ascii="Verdana" w:hAnsi="Verdana"/>
      <w:sz w:val="14"/>
      <w:szCs w:val="14"/>
    </w:rPr>
  </w:style>
  <w:style w:type="character" w:styleId="Strong">
    <w:name w:val="Strong"/>
    <w:qFormat/>
    <w:rPr>
      <w:b/>
      <w:bCs/>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FooterChar">
    <w:name w:val="Footer Char"/>
    <w:link w:val="Footer"/>
    <w:uiPriority w:val="99"/>
    <w:rsid w:val="001958EE"/>
    <w:rPr>
      <w:sz w:val="24"/>
      <w:szCs w:val="24"/>
    </w:rPr>
  </w:style>
  <w:style w:type="paragraph" w:styleId="ListParagraph">
    <w:name w:val="List Paragraph"/>
    <w:basedOn w:val="Normal"/>
    <w:uiPriority w:val="34"/>
    <w:qFormat/>
    <w:rsid w:val="00903DA9"/>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366007"/>
    <w:rPr>
      <w:rFonts w:ascii="Tahoma" w:hAnsi="Tahoma" w:cs="Tahoma"/>
      <w:sz w:val="16"/>
      <w:szCs w:val="16"/>
    </w:rPr>
  </w:style>
  <w:style w:type="character" w:customStyle="1" w:styleId="BalloonTextChar">
    <w:name w:val="Balloon Text Char"/>
    <w:link w:val="BalloonText"/>
    <w:uiPriority w:val="99"/>
    <w:semiHidden/>
    <w:rsid w:val="00366007"/>
    <w:rPr>
      <w:rFonts w:ascii="Tahoma" w:hAnsi="Tahoma" w:cs="Tahoma"/>
      <w:sz w:val="16"/>
      <w:szCs w:val="16"/>
    </w:rPr>
  </w:style>
  <w:style w:type="paragraph" w:styleId="FootnoteText">
    <w:name w:val="footnote text"/>
    <w:basedOn w:val="Normal"/>
    <w:link w:val="FootnoteTextChar"/>
    <w:uiPriority w:val="99"/>
    <w:semiHidden/>
    <w:rsid w:val="008146B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8146B4"/>
  </w:style>
  <w:style w:type="character" w:styleId="FootnoteReference">
    <w:name w:val="footnote reference"/>
    <w:uiPriority w:val="99"/>
    <w:semiHidden/>
    <w:rsid w:val="008146B4"/>
    <w:rPr>
      <w:vertAlign w:val="superscript"/>
    </w:rPr>
  </w:style>
  <w:style w:type="character" w:customStyle="1" w:styleId="cs264d39c11">
    <w:name w:val="cs264d39c11"/>
    <w:rsid w:val="000A3A84"/>
  </w:style>
  <w:style w:type="character" w:customStyle="1" w:styleId="cs5513e251">
    <w:name w:val="cs5513e251"/>
    <w:rsid w:val="000A3A84"/>
  </w:style>
  <w:style w:type="paragraph" w:customStyle="1" w:styleId="cs41ed3027">
    <w:name w:val="cs41ed3027"/>
    <w:basedOn w:val="Normal"/>
    <w:rsid w:val="009A5401"/>
    <w:pPr>
      <w:spacing w:before="100" w:beforeAutospacing="1" w:after="100" w:afterAutospacing="1"/>
    </w:pPr>
  </w:style>
  <w:style w:type="character" w:customStyle="1" w:styleId="cs5513e25">
    <w:name w:val="cs5513e25"/>
    <w:rsid w:val="009A5401"/>
  </w:style>
  <w:style w:type="character" w:customStyle="1" w:styleId="cs1ad4b644">
    <w:name w:val="cs1ad4b644"/>
    <w:rsid w:val="009A5401"/>
  </w:style>
  <w:style w:type="paragraph" w:customStyle="1" w:styleId="csc970676">
    <w:name w:val="csc970676"/>
    <w:basedOn w:val="Normal"/>
    <w:rsid w:val="009A5401"/>
    <w:pPr>
      <w:spacing w:before="100" w:beforeAutospacing="1" w:after="100" w:afterAutospacing="1"/>
    </w:pPr>
  </w:style>
  <w:style w:type="paragraph" w:customStyle="1" w:styleId="cs490cbcf4">
    <w:name w:val="cs490cbcf4"/>
    <w:basedOn w:val="Normal"/>
    <w:rsid w:val="009A5401"/>
    <w:pPr>
      <w:spacing w:before="100" w:beforeAutospacing="1" w:after="100" w:afterAutospacing="1"/>
    </w:pPr>
  </w:style>
  <w:style w:type="paragraph" w:customStyle="1" w:styleId="cs5ca3adad">
    <w:name w:val="cs5ca3adad"/>
    <w:basedOn w:val="Normal"/>
    <w:rsid w:val="009A5401"/>
    <w:pPr>
      <w:spacing w:before="100" w:beforeAutospacing="1" w:after="100" w:afterAutospacing="1"/>
    </w:pPr>
  </w:style>
  <w:style w:type="paragraph" w:customStyle="1" w:styleId="csd15247b9">
    <w:name w:val="csd15247b9"/>
    <w:basedOn w:val="Normal"/>
    <w:rsid w:val="009A5401"/>
    <w:pPr>
      <w:spacing w:before="100" w:beforeAutospacing="1" w:after="100" w:afterAutospacing="1"/>
    </w:pPr>
  </w:style>
  <w:style w:type="character" w:customStyle="1" w:styleId="csb0aa7929">
    <w:name w:val="csb0aa7929"/>
    <w:rsid w:val="009A5401"/>
  </w:style>
  <w:style w:type="paragraph" w:customStyle="1" w:styleId="csf0a1d375">
    <w:name w:val="csf0a1d375"/>
    <w:basedOn w:val="Normal"/>
    <w:rsid w:val="009A5401"/>
    <w:pPr>
      <w:spacing w:before="100" w:beforeAutospacing="1" w:after="100" w:afterAutospacing="1"/>
    </w:pPr>
  </w:style>
  <w:style w:type="paragraph" w:customStyle="1" w:styleId="cs75f9b396">
    <w:name w:val="cs75f9b396"/>
    <w:basedOn w:val="Normal"/>
    <w:rsid w:val="009A5401"/>
    <w:pPr>
      <w:spacing w:before="100" w:beforeAutospacing="1" w:after="100" w:afterAutospacing="1"/>
    </w:pPr>
  </w:style>
  <w:style w:type="character" w:customStyle="1" w:styleId="cs1407c14">
    <w:name w:val="cs1407c14"/>
    <w:rsid w:val="009A5401"/>
  </w:style>
  <w:style w:type="character" w:customStyle="1" w:styleId="cs264d39c1">
    <w:name w:val="cs264d39c1"/>
    <w:rsid w:val="00B83153"/>
  </w:style>
  <w:style w:type="character" w:styleId="FollowedHyperlink">
    <w:name w:val="FollowedHyperlink"/>
    <w:uiPriority w:val="99"/>
    <w:semiHidden/>
    <w:unhideWhenUsed/>
    <w:rsid w:val="00A127EB"/>
    <w:rPr>
      <w:color w:val="800080"/>
      <w:u w:val="single"/>
    </w:rPr>
  </w:style>
  <w:style w:type="table" w:styleId="TableGrid">
    <w:name w:val="Table Grid"/>
    <w:basedOn w:val="TableNormal"/>
    <w:uiPriority w:val="59"/>
    <w:rsid w:val="00BD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33C6-22F1-4898-851A-E2203342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3-12-19 - Proposed OT Part 541 Regs  (3-12-19 - Proposed OT Part 541 Regs.docx;1)</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2019-03-12T18:53:18Z</dcterms:created>
  <dcterms:modified xsi:type="dcterms:W3CDTF">2019-03-12T18:53:18Z</dcterms:modified>
</cp:coreProperties>
</file>